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49" w:rsidRDefault="001B066B" w:rsidP="00795549">
      <w:pPr>
        <w:jc w:val="center"/>
      </w:pPr>
      <w:r>
        <w:rPr>
          <w:noProof/>
        </w:rPr>
        <w:drawing>
          <wp:inline distT="0" distB="0" distL="0" distR="0">
            <wp:extent cx="2378177" cy="762000"/>
            <wp:effectExtent l="0" t="0" r="3175" b="0"/>
            <wp:docPr id="1" name="Picture 1" descr="C:\Users\echiaradio\Desktop\GTECH_Logo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iaradio\Desktop\GTECH_Logo_Ful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177" cy="762000"/>
                    </a:xfrm>
                    <a:prstGeom prst="rect">
                      <a:avLst/>
                    </a:prstGeom>
                    <a:noFill/>
                    <a:ln>
                      <a:noFill/>
                    </a:ln>
                  </pic:spPr>
                </pic:pic>
              </a:graphicData>
            </a:graphic>
          </wp:inline>
        </w:drawing>
      </w:r>
    </w:p>
    <w:p w:rsidR="00795549" w:rsidRDefault="00795549" w:rsidP="00795549">
      <w:pPr>
        <w:jc w:val="center"/>
      </w:pPr>
    </w:p>
    <w:p w:rsidR="00795549" w:rsidRPr="0075557E" w:rsidRDefault="00795549" w:rsidP="00A676D5">
      <w:pPr>
        <w:jc w:val="center"/>
        <w:rPr>
          <w:rFonts w:ascii="Arial" w:hAnsi="Arial" w:cs="Arial"/>
          <w:b/>
          <w:color w:val="FF0000"/>
          <w:sz w:val="32"/>
          <w:szCs w:val="32"/>
          <w:lang w:val="el-GR"/>
        </w:rPr>
      </w:pPr>
      <w:r w:rsidRPr="0075557E">
        <w:rPr>
          <w:rFonts w:ascii="Arial" w:hAnsi="Arial" w:cs="Arial"/>
          <w:b/>
          <w:sz w:val="32"/>
          <w:szCs w:val="32"/>
          <w:lang w:val="el-GR"/>
        </w:rPr>
        <w:t> </w:t>
      </w:r>
      <w:r w:rsidR="00B008A4" w:rsidRPr="0075557E">
        <w:rPr>
          <w:rFonts w:ascii="Arial" w:hAnsi="Arial" w:cs="Arial"/>
          <w:b/>
          <w:sz w:val="36"/>
          <w:szCs w:val="36"/>
          <w:lang w:val="el-GR"/>
        </w:rPr>
        <w:t>ΔΕΛΤΙΟ ΤΥΠΟΥ</w:t>
      </w:r>
    </w:p>
    <w:p w:rsidR="00A676D5" w:rsidRPr="0075557E" w:rsidRDefault="00A676D5" w:rsidP="00A676D5">
      <w:pPr>
        <w:jc w:val="center"/>
        <w:rPr>
          <w:rFonts w:ascii="Arial" w:hAnsi="Arial" w:cs="Arial"/>
          <w:caps/>
          <w:sz w:val="28"/>
          <w:szCs w:val="28"/>
          <w:lang w:val="el-GR"/>
        </w:rPr>
      </w:pPr>
    </w:p>
    <w:p w:rsidR="0055680E" w:rsidRPr="0075557E" w:rsidRDefault="00B008A4" w:rsidP="0055680E">
      <w:pPr>
        <w:pStyle w:val="style6"/>
        <w:spacing w:before="0" w:beforeAutospacing="0" w:after="0" w:afterAutospacing="0"/>
        <w:jc w:val="center"/>
        <w:rPr>
          <w:rFonts w:ascii="Arial" w:hAnsi="Arial" w:cs="Arial"/>
          <w:sz w:val="32"/>
          <w:szCs w:val="32"/>
          <w:lang w:val="el-GR"/>
        </w:rPr>
      </w:pPr>
      <w:r w:rsidRPr="0075557E">
        <w:rPr>
          <w:rFonts w:ascii="Arial" w:hAnsi="Arial" w:cs="Arial"/>
          <w:sz w:val="32"/>
          <w:szCs w:val="32"/>
          <w:lang w:val="el-GR"/>
        </w:rPr>
        <w:t xml:space="preserve">Η </w:t>
      </w:r>
      <w:r w:rsidR="006863DD" w:rsidRPr="0075557E">
        <w:rPr>
          <w:rFonts w:ascii="Arial" w:hAnsi="Arial" w:cs="Arial"/>
          <w:sz w:val="32"/>
          <w:szCs w:val="32"/>
          <w:lang w:val="el-GR"/>
        </w:rPr>
        <w:t xml:space="preserve">GTECH </w:t>
      </w:r>
      <w:r w:rsidRPr="0075557E">
        <w:rPr>
          <w:rFonts w:ascii="Arial" w:hAnsi="Arial" w:cs="Arial"/>
          <w:sz w:val="32"/>
          <w:szCs w:val="32"/>
          <w:lang w:val="el-GR"/>
        </w:rPr>
        <w:t xml:space="preserve">ΑΝΑΚΟΙΝΩΝΕΙ ΤΑ ΟΙΚΟΝΟΜΙΚΑ ΑΠΟΤΕΛΕΣΜΑΤΑ ΓΙΑ ΤΟ 3ο ΤΡΙΜΗΝΟ ΤΟΥ </w:t>
      </w:r>
      <w:r w:rsidR="006B2F57" w:rsidRPr="0075557E">
        <w:rPr>
          <w:rFonts w:ascii="Arial" w:hAnsi="Arial" w:cs="Arial"/>
          <w:sz w:val="32"/>
          <w:szCs w:val="32"/>
          <w:lang w:val="el-GR"/>
        </w:rPr>
        <w:t>2014</w:t>
      </w:r>
    </w:p>
    <w:p w:rsidR="00CD1AEE" w:rsidRPr="0075557E" w:rsidRDefault="00B41E45" w:rsidP="006863DD">
      <w:pPr>
        <w:pStyle w:val="style6"/>
        <w:numPr>
          <w:ilvl w:val="0"/>
          <w:numId w:val="1"/>
        </w:numPr>
        <w:spacing w:before="120" w:beforeAutospacing="0" w:after="120" w:afterAutospacing="0"/>
        <w:rPr>
          <w:rFonts w:ascii="Arial" w:hAnsi="Arial" w:cs="Arial"/>
          <w:sz w:val="24"/>
          <w:szCs w:val="24"/>
          <w:lang w:val="el-GR"/>
        </w:rPr>
      </w:pPr>
      <w:bookmarkStart w:id="0" w:name="OLE_LINK36"/>
      <w:bookmarkStart w:id="1" w:name="OLE_LINK37"/>
      <w:bookmarkStart w:id="2" w:name="_GoBack"/>
      <w:r>
        <w:rPr>
          <w:rFonts w:ascii="Arial" w:hAnsi="Arial" w:cs="Arial"/>
          <w:sz w:val="24"/>
          <w:szCs w:val="24"/>
          <w:lang w:val="el-GR"/>
        </w:rPr>
        <w:t xml:space="preserve">Ο τομέας εργασιών της Ιταλίας </w:t>
      </w:r>
      <w:r w:rsidR="00525E48">
        <w:rPr>
          <w:rFonts w:ascii="Arial" w:hAnsi="Arial" w:cs="Arial"/>
          <w:sz w:val="24"/>
          <w:szCs w:val="24"/>
          <w:lang w:val="el-GR"/>
        </w:rPr>
        <w:t>κατευθύνει</w:t>
      </w:r>
      <w:r>
        <w:rPr>
          <w:rFonts w:ascii="Arial" w:hAnsi="Arial" w:cs="Arial"/>
          <w:sz w:val="24"/>
          <w:szCs w:val="24"/>
          <w:lang w:val="el-GR"/>
        </w:rPr>
        <w:t xml:space="preserve"> τα αποτελέσματα του Τρίτου Τριμήνου</w:t>
      </w:r>
      <w:r w:rsidR="00E82779">
        <w:rPr>
          <w:rFonts w:ascii="Arial" w:hAnsi="Arial" w:cs="Arial"/>
          <w:sz w:val="24"/>
          <w:szCs w:val="24"/>
          <w:lang w:val="el-GR"/>
        </w:rPr>
        <w:t xml:space="preserve">; </w:t>
      </w:r>
      <w:r w:rsidR="0009321E" w:rsidRPr="0075557E">
        <w:rPr>
          <w:rFonts w:ascii="Arial" w:hAnsi="Arial" w:cs="Arial"/>
          <w:sz w:val="24"/>
          <w:szCs w:val="24"/>
          <w:lang w:val="el-GR"/>
        </w:rPr>
        <w:t xml:space="preserve">οι καινοτομίες </w:t>
      </w:r>
      <w:r w:rsidR="00E82779">
        <w:rPr>
          <w:rFonts w:ascii="Arial" w:hAnsi="Arial" w:cs="Arial"/>
          <w:sz w:val="24"/>
          <w:szCs w:val="24"/>
          <w:lang w:val="el-GR"/>
        </w:rPr>
        <w:t xml:space="preserve">στο </w:t>
      </w:r>
      <w:r w:rsidR="0009321E" w:rsidRPr="0075557E">
        <w:rPr>
          <w:rFonts w:ascii="Arial" w:hAnsi="Arial" w:cs="Arial"/>
          <w:sz w:val="24"/>
          <w:szCs w:val="24"/>
          <w:lang w:val="el-GR"/>
        </w:rPr>
        <w:t xml:space="preserve">Lotto και </w:t>
      </w:r>
      <w:r w:rsidR="00E82779">
        <w:rPr>
          <w:rFonts w:ascii="Arial" w:hAnsi="Arial" w:cs="Arial"/>
          <w:sz w:val="24"/>
          <w:szCs w:val="24"/>
          <w:lang w:val="el-GR"/>
        </w:rPr>
        <w:t>στα παιχνίδια α</w:t>
      </w:r>
      <w:r w:rsidR="00E82779" w:rsidRPr="0075557E">
        <w:rPr>
          <w:rFonts w:ascii="Arial" w:hAnsi="Arial" w:cs="Arial"/>
          <w:sz w:val="24"/>
          <w:szCs w:val="24"/>
          <w:lang w:val="el-GR"/>
        </w:rPr>
        <w:t>θλητικ</w:t>
      </w:r>
      <w:r w:rsidR="00E82779">
        <w:rPr>
          <w:rFonts w:ascii="Arial" w:hAnsi="Arial" w:cs="Arial"/>
          <w:sz w:val="24"/>
          <w:szCs w:val="24"/>
          <w:lang w:val="el-GR"/>
        </w:rPr>
        <w:t>ού στοιχηματισμού</w:t>
      </w:r>
      <w:r w:rsidR="00E82779" w:rsidRPr="0075557E">
        <w:rPr>
          <w:rFonts w:ascii="Arial" w:hAnsi="Arial" w:cs="Arial"/>
          <w:sz w:val="24"/>
          <w:szCs w:val="24"/>
          <w:lang w:val="el-GR"/>
        </w:rPr>
        <w:t xml:space="preserve"> </w:t>
      </w:r>
      <w:r w:rsidR="00E82779">
        <w:rPr>
          <w:rFonts w:ascii="Arial" w:hAnsi="Arial" w:cs="Arial"/>
          <w:sz w:val="24"/>
          <w:szCs w:val="24"/>
          <w:lang w:val="el-GR"/>
        </w:rPr>
        <w:t xml:space="preserve">καθοδηγούν την ανάπτυξη </w:t>
      </w:r>
    </w:p>
    <w:p w:rsidR="00410CCC" w:rsidRPr="0075557E" w:rsidRDefault="00CD1AEE" w:rsidP="005A6B3C">
      <w:pPr>
        <w:pStyle w:val="style6"/>
        <w:numPr>
          <w:ilvl w:val="0"/>
          <w:numId w:val="1"/>
        </w:numPr>
        <w:spacing w:before="120" w:beforeAutospacing="0" w:after="120" w:afterAutospacing="0"/>
        <w:rPr>
          <w:rFonts w:ascii="Arial" w:hAnsi="Arial" w:cs="Arial"/>
          <w:sz w:val="24"/>
          <w:szCs w:val="24"/>
          <w:lang w:val="el-GR"/>
        </w:rPr>
      </w:pPr>
      <w:r w:rsidRPr="0075557E">
        <w:rPr>
          <w:rFonts w:ascii="Arial" w:hAnsi="Arial" w:cs="Arial"/>
          <w:bCs w:val="0"/>
          <w:sz w:val="24"/>
          <w:szCs w:val="24"/>
          <w:lang w:val="el-GR"/>
        </w:rPr>
        <w:t xml:space="preserve">Εξασφάλιση </w:t>
      </w:r>
      <w:r w:rsidR="0009321E" w:rsidRPr="0075557E">
        <w:rPr>
          <w:rFonts w:ascii="Arial" w:hAnsi="Arial" w:cs="Arial"/>
          <w:bCs w:val="0"/>
          <w:sz w:val="24"/>
          <w:szCs w:val="24"/>
          <w:lang w:val="el-GR"/>
        </w:rPr>
        <w:t xml:space="preserve">νέων </w:t>
      </w:r>
      <w:r w:rsidRPr="0075557E">
        <w:rPr>
          <w:rFonts w:ascii="Arial" w:hAnsi="Arial" w:cs="Arial"/>
          <w:bCs w:val="0"/>
          <w:sz w:val="24"/>
          <w:szCs w:val="24"/>
          <w:lang w:val="el-GR"/>
        </w:rPr>
        <w:t xml:space="preserve">συμβάσεων στην Πολιτεία της Ουάσινγκτον, </w:t>
      </w:r>
      <w:r w:rsidR="00E82779">
        <w:rPr>
          <w:rFonts w:ascii="Arial" w:hAnsi="Arial" w:cs="Arial"/>
          <w:bCs w:val="0"/>
          <w:sz w:val="24"/>
          <w:szCs w:val="24"/>
          <w:lang w:val="el-GR"/>
        </w:rPr>
        <w:t>σ</w:t>
      </w:r>
      <w:r w:rsidRPr="0075557E">
        <w:rPr>
          <w:rFonts w:ascii="Arial" w:hAnsi="Arial" w:cs="Arial"/>
          <w:bCs w:val="0"/>
          <w:sz w:val="24"/>
          <w:szCs w:val="24"/>
          <w:lang w:val="el-GR"/>
        </w:rPr>
        <w:t xml:space="preserve">το Μιζούρι, </w:t>
      </w:r>
      <w:r w:rsidR="00E82779">
        <w:rPr>
          <w:rFonts w:ascii="Arial" w:hAnsi="Arial" w:cs="Arial"/>
          <w:bCs w:val="0"/>
          <w:sz w:val="24"/>
          <w:szCs w:val="24"/>
          <w:lang w:val="el-GR"/>
        </w:rPr>
        <w:t>σ</w:t>
      </w:r>
      <w:r w:rsidRPr="0075557E">
        <w:rPr>
          <w:rFonts w:ascii="Arial" w:hAnsi="Arial" w:cs="Arial"/>
          <w:bCs w:val="0"/>
          <w:sz w:val="24"/>
          <w:szCs w:val="24"/>
          <w:lang w:val="el-GR"/>
        </w:rPr>
        <w:t xml:space="preserve">τη Νότιο Αφρική και </w:t>
      </w:r>
      <w:r w:rsidR="00E82779">
        <w:rPr>
          <w:rFonts w:ascii="Arial" w:hAnsi="Arial" w:cs="Arial"/>
          <w:bCs w:val="0"/>
          <w:sz w:val="24"/>
          <w:szCs w:val="24"/>
          <w:lang w:val="el-GR"/>
        </w:rPr>
        <w:t>σ</w:t>
      </w:r>
      <w:r w:rsidRPr="0075557E">
        <w:rPr>
          <w:rFonts w:ascii="Arial" w:hAnsi="Arial" w:cs="Arial"/>
          <w:bCs w:val="0"/>
          <w:sz w:val="24"/>
          <w:szCs w:val="24"/>
          <w:lang w:val="el-GR"/>
        </w:rPr>
        <w:t>το Μεξικό</w:t>
      </w:r>
    </w:p>
    <w:p w:rsidR="007571E3" w:rsidRPr="0075557E" w:rsidRDefault="00B41E45" w:rsidP="006863DD">
      <w:pPr>
        <w:pStyle w:val="style6"/>
        <w:numPr>
          <w:ilvl w:val="0"/>
          <w:numId w:val="1"/>
        </w:numPr>
        <w:spacing w:before="120" w:beforeAutospacing="0" w:after="120" w:afterAutospacing="0"/>
        <w:rPr>
          <w:rFonts w:ascii="Arial" w:hAnsi="Arial" w:cs="Arial"/>
          <w:sz w:val="24"/>
          <w:szCs w:val="24"/>
          <w:lang w:val="el-GR"/>
        </w:rPr>
      </w:pPr>
      <w:r>
        <w:rPr>
          <w:rFonts w:ascii="Arial" w:hAnsi="Arial" w:cs="Arial"/>
          <w:sz w:val="24"/>
          <w:szCs w:val="24"/>
          <w:lang w:val="el-GR"/>
        </w:rPr>
        <w:t>Ισχυρές ταμειακές ροές από</w:t>
      </w:r>
      <w:r w:rsidR="00CD1AEE" w:rsidRPr="0075557E">
        <w:rPr>
          <w:rFonts w:ascii="Arial" w:hAnsi="Arial" w:cs="Arial"/>
          <w:sz w:val="24"/>
          <w:szCs w:val="24"/>
          <w:lang w:val="el-GR"/>
        </w:rPr>
        <w:t xml:space="preserve"> δραστηριότητες, ύψους </w:t>
      </w:r>
      <w:r w:rsidR="00F07408" w:rsidRPr="0075557E">
        <w:rPr>
          <w:rFonts w:ascii="Arial" w:hAnsi="Arial" w:cs="Arial"/>
          <w:sz w:val="24"/>
          <w:szCs w:val="24"/>
          <w:lang w:val="el-GR"/>
        </w:rPr>
        <w:t>€</w:t>
      </w:r>
      <w:r w:rsidR="008A7684" w:rsidRPr="0075557E">
        <w:rPr>
          <w:rFonts w:ascii="Arial" w:hAnsi="Arial" w:cs="Arial"/>
          <w:sz w:val="24"/>
          <w:szCs w:val="24"/>
          <w:lang w:val="el-GR"/>
        </w:rPr>
        <w:t xml:space="preserve">641 </w:t>
      </w:r>
      <w:r w:rsidR="00CD1AEE" w:rsidRPr="0075557E">
        <w:rPr>
          <w:rFonts w:ascii="Arial" w:hAnsi="Arial" w:cs="Arial"/>
          <w:sz w:val="24"/>
          <w:szCs w:val="24"/>
          <w:lang w:val="el-GR"/>
        </w:rPr>
        <w:t xml:space="preserve">εκ. έναντι </w:t>
      </w:r>
      <w:r w:rsidR="005A6B3C" w:rsidRPr="0075557E">
        <w:rPr>
          <w:rFonts w:ascii="Arial" w:hAnsi="Arial" w:cs="Arial"/>
          <w:sz w:val="24"/>
          <w:szCs w:val="24"/>
          <w:lang w:val="el-GR"/>
        </w:rPr>
        <w:t xml:space="preserve">€497 </w:t>
      </w:r>
      <w:r w:rsidR="00CD1AEE" w:rsidRPr="0075557E">
        <w:rPr>
          <w:rFonts w:ascii="Arial" w:hAnsi="Arial" w:cs="Arial"/>
          <w:sz w:val="24"/>
          <w:szCs w:val="24"/>
          <w:lang w:val="el-GR"/>
        </w:rPr>
        <w:t>εκ. το προηγούμενο έτος</w:t>
      </w:r>
    </w:p>
    <w:bookmarkEnd w:id="0"/>
    <w:bookmarkEnd w:id="1"/>
    <w:bookmarkEnd w:id="2"/>
    <w:p w:rsidR="006863DD" w:rsidRPr="0075557E" w:rsidRDefault="006863DD" w:rsidP="00FD67C7">
      <w:pPr>
        <w:pStyle w:val="style1"/>
        <w:spacing w:before="120" w:beforeAutospacing="0" w:after="120" w:afterAutospacing="0"/>
        <w:rPr>
          <w:rFonts w:ascii="Arial" w:hAnsi="Arial" w:cs="Arial"/>
          <w:b/>
          <w:sz w:val="22"/>
          <w:szCs w:val="22"/>
          <w:lang w:val="el-GR"/>
        </w:rPr>
      </w:pPr>
    </w:p>
    <w:p w:rsidR="006863DD" w:rsidRPr="0075557E" w:rsidRDefault="00B008A4" w:rsidP="006863DD">
      <w:pPr>
        <w:pStyle w:val="style1"/>
        <w:spacing w:before="120" w:beforeAutospacing="0" w:after="120" w:afterAutospacing="0"/>
        <w:rPr>
          <w:rFonts w:ascii="Arial" w:hAnsi="Arial" w:cs="Arial"/>
          <w:b/>
          <w:sz w:val="22"/>
          <w:szCs w:val="22"/>
          <w:lang w:val="el-GR"/>
        </w:rPr>
      </w:pPr>
      <w:r w:rsidRPr="0075557E">
        <w:rPr>
          <w:rFonts w:ascii="Arial" w:hAnsi="Arial" w:cs="Arial"/>
          <w:b/>
          <w:sz w:val="22"/>
          <w:szCs w:val="22"/>
          <w:lang w:val="el-GR"/>
        </w:rPr>
        <w:t>Σύγκριση Αποτελεσμάτων 3</w:t>
      </w:r>
      <w:r w:rsidRPr="0075557E">
        <w:rPr>
          <w:rFonts w:ascii="Arial" w:hAnsi="Arial" w:cs="Arial"/>
          <w:b/>
          <w:sz w:val="22"/>
          <w:szCs w:val="22"/>
          <w:vertAlign w:val="superscript"/>
          <w:lang w:val="el-GR"/>
        </w:rPr>
        <w:t>ου</w:t>
      </w:r>
      <w:r w:rsidRPr="0075557E">
        <w:rPr>
          <w:rFonts w:ascii="Arial" w:hAnsi="Arial" w:cs="Arial"/>
          <w:b/>
          <w:sz w:val="22"/>
          <w:szCs w:val="22"/>
          <w:lang w:val="el-GR"/>
        </w:rPr>
        <w:t xml:space="preserve"> Τριμήνου και Εννεαμήνου 2014 της </w:t>
      </w:r>
      <w:r w:rsidR="006B2F57" w:rsidRPr="0075557E">
        <w:rPr>
          <w:rFonts w:ascii="Arial" w:hAnsi="Arial" w:cs="Arial"/>
          <w:b/>
          <w:sz w:val="22"/>
          <w:szCs w:val="22"/>
          <w:lang w:val="el-GR"/>
        </w:rPr>
        <w:t>GTECH</w:t>
      </w:r>
    </w:p>
    <w:tbl>
      <w:tblPr>
        <w:tblW w:w="92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000" w:firstRow="0" w:lastRow="0" w:firstColumn="0" w:lastColumn="0" w:noHBand="0" w:noVBand="0"/>
      </w:tblPr>
      <w:tblGrid>
        <w:gridCol w:w="2304"/>
        <w:gridCol w:w="1152"/>
        <w:gridCol w:w="1152"/>
        <w:gridCol w:w="1152"/>
        <w:gridCol w:w="1152"/>
        <w:gridCol w:w="1152"/>
        <w:gridCol w:w="1152"/>
      </w:tblGrid>
      <w:tr w:rsidR="006863DD" w:rsidRPr="0075557E" w:rsidTr="002F5474">
        <w:trPr>
          <w:trHeight w:val="345"/>
          <w:tblCellSpacing w:w="0" w:type="dxa"/>
          <w:jc w:val="center"/>
        </w:trPr>
        <w:tc>
          <w:tcPr>
            <w:tcW w:w="2304" w:type="dxa"/>
            <w:tcBorders>
              <w:top w:val="single" w:sz="8" w:space="0" w:color="auto"/>
              <w:left w:val="single" w:sz="8" w:space="0" w:color="auto"/>
            </w:tcBorders>
            <w:vAlign w:val="center"/>
          </w:tcPr>
          <w:p w:rsidR="006863DD" w:rsidRPr="0075557E" w:rsidRDefault="00B008A4" w:rsidP="00B008A4">
            <w:pPr>
              <w:rPr>
                <w:rFonts w:ascii="Arial" w:hAnsi="Arial" w:cs="Arial"/>
                <w:b/>
                <w:bCs/>
                <w:sz w:val="20"/>
                <w:lang w:val="el-GR"/>
              </w:rPr>
            </w:pPr>
            <w:r w:rsidRPr="0075557E">
              <w:rPr>
                <w:rFonts w:ascii="Arial" w:hAnsi="Arial" w:cs="Arial"/>
                <w:b/>
                <w:bCs/>
                <w:sz w:val="20"/>
                <w:lang w:val="el-GR"/>
              </w:rPr>
              <w:t>Ενοποιημένη Δήλωση Εσόδων</w:t>
            </w:r>
            <w:r w:rsidR="006863DD" w:rsidRPr="0075557E">
              <w:rPr>
                <w:rFonts w:ascii="Arial" w:hAnsi="Arial" w:cs="Arial"/>
                <w:b/>
                <w:bCs/>
                <w:sz w:val="20"/>
                <w:lang w:val="el-GR"/>
              </w:rPr>
              <w:t>(€/M)</w:t>
            </w:r>
          </w:p>
        </w:tc>
        <w:tc>
          <w:tcPr>
            <w:tcW w:w="1152" w:type="dxa"/>
            <w:tcBorders>
              <w:top w:val="single" w:sz="8" w:space="0" w:color="auto"/>
            </w:tcBorders>
            <w:vAlign w:val="center"/>
          </w:tcPr>
          <w:p w:rsidR="006863DD" w:rsidRPr="0075557E" w:rsidRDefault="00B008A4" w:rsidP="002F5474">
            <w:pPr>
              <w:spacing w:before="100" w:beforeAutospacing="1" w:after="100" w:afterAutospacing="1"/>
              <w:jc w:val="center"/>
              <w:rPr>
                <w:rFonts w:ascii="Arial" w:hAnsi="Arial" w:cs="Arial"/>
                <w:b/>
                <w:bCs/>
                <w:sz w:val="20"/>
                <w:lang w:val="el-GR"/>
              </w:rPr>
            </w:pPr>
            <w:r w:rsidRPr="0075557E">
              <w:rPr>
                <w:rFonts w:ascii="Arial" w:hAnsi="Arial" w:cs="Arial"/>
                <w:b/>
                <w:bCs/>
                <w:sz w:val="20"/>
                <w:lang w:val="el-GR"/>
              </w:rPr>
              <w:t>3</w:t>
            </w:r>
            <w:r w:rsidRPr="0075557E">
              <w:rPr>
                <w:rFonts w:ascii="Arial" w:hAnsi="Arial" w:cs="Arial"/>
                <w:b/>
                <w:bCs/>
                <w:sz w:val="20"/>
                <w:vertAlign w:val="superscript"/>
                <w:lang w:val="el-GR"/>
              </w:rPr>
              <w:t>ο</w:t>
            </w:r>
            <w:r w:rsidRPr="0075557E">
              <w:rPr>
                <w:rFonts w:ascii="Arial" w:hAnsi="Arial" w:cs="Arial"/>
                <w:b/>
                <w:bCs/>
                <w:sz w:val="20"/>
                <w:lang w:val="el-GR"/>
              </w:rPr>
              <w:t xml:space="preserve"> Τρίμηνο</w:t>
            </w:r>
            <w:r w:rsidR="00CD1AEE" w:rsidRPr="0075557E">
              <w:rPr>
                <w:rFonts w:ascii="Arial" w:hAnsi="Arial" w:cs="Arial"/>
                <w:b/>
                <w:bCs/>
                <w:sz w:val="20"/>
                <w:lang w:val="el-GR"/>
              </w:rPr>
              <w:t xml:space="preserve"> </w:t>
            </w:r>
            <w:r w:rsidR="006B2F57" w:rsidRPr="0075557E">
              <w:rPr>
                <w:rFonts w:ascii="Arial" w:hAnsi="Arial" w:cs="Arial"/>
                <w:b/>
                <w:bCs/>
                <w:sz w:val="20"/>
                <w:lang w:val="el-GR"/>
              </w:rPr>
              <w:t>2014</w:t>
            </w:r>
          </w:p>
        </w:tc>
        <w:tc>
          <w:tcPr>
            <w:tcW w:w="1152" w:type="dxa"/>
            <w:tcBorders>
              <w:top w:val="single" w:sz="8" w:space="0" w:color="auto"/>
            </w:tcBorders>
            <w:vAlign w:val="center"/>
          </w:tcPr>
          <w:p w:rsidR="006863DD" w:rsidRPr="0075557E" w:rsidRDefault="00B008A4" w:rsidP="002F5474">
            <w:pPr>
              <w:spacing w:before="100" w:beforeAutospacing="1" w:after="100" w:afterAutospacing="1"/>
              <w:jc w:val="center"/>
              <w:rPr>
                <w:rFonts w:ascii="Arial" w:hAnsi="Arial" w:cs="Arial"/>
                <w:b/>
                <w:bCs/>
                <w:sz w:val="20"/>
                <w:lang w:val="el-GR"/>
              </w:rPr>
            </w:pPr>
            <w:r w:rsidRPr="0075557E">
              <w:rPr>
                <w:rFonts w:ascii="Arial" w:hAnsi="Arial" w:cs="Arial"/>
                <w:b/>
                <w:bCs/>
                <w:sz w:val="20"/>
                <w:lang w:val="el-GR"/>
              </w:rPr>
              <w:t>3</w:t>
            </w:r>
            <w:r w:rsidRPr="0075557E">
              <w:rPr>
                <w:rFonts w:ascii="Arial" w:hAnsi="Arial" w:cs="Arial"/>
                <w:b/>
                <w:bCs/>
                <w:sz w:val="20"/>
                <w:vertAlign w:val="superscript"/>
                <w:lang w:val="el-GR"/>
              </w:rPr>
              <w:t>ο</w:t>
            </w:r>
            <w:r w:rsidRPr="0075557E">
              <w:rPr>
                <w:rFonts w:ascii="Arial" w:hAnsi="Arial" w:cs="Arial"/>
                <w:b/>
                <w:bCs/>
                <w:sz w:val="20"/>
                <w:lang w:val="el-GR"/>
              </w:rPr>
              <w:t xml:space="preserve"> Τρίμηνο</w:t>
            </w:r>
            <w:r w:rsidR="006B2F57" w:rsidRPr="0075557E">
              <w:rPr>
                <w:rFonts w:ascii="Arial" w:hAnsi="Arial" w:cs="Arial"/>
                <w:b/>
                <w:bCs/>
                <w:sz w:val="20"/>
                <w:lang w:val="el-GR"/>
              </w:rPr>
              <w:t xml:space="preserve"> 2013</w:t>
            </w:r>
          </w:p>
        </w:tc>
        <w:tc>
          <w:tcPr>
            <w:tcW w:w="1152" w:type="dxa"/>
            <w:tcBorders>
              <w:top w:val="single" w:sz="8" w:space="0" w:color="auto"/>
            </w:tcBorders>
            <w:vAlign w:val="center"/>
          </w:tcPr>
          <w:p w:rsidR="006863DD" w:rsidRPr="0075557E" w:rsidRDefault="006863DD" w:rsidP="00B008A4">
            <w:pPr>
              <w:spacing w:before="100" w:beforeAutospacing="1" w:after="100" w:afterAutospacing="1"/>
              <w:jc w:val="center"/>
              <w:rPr>
                <w:rFonts w:ascii="Arial" w:hAnsi="Arial" w:cs="Arial"/>
                <w:b/>
                <w:bCs/>
                <w:sz w:val="20"/>
                <w:lang w:val="el-GR"/>
              </w:rPr>
            </w:pPr>
            <w:r w:rsidRPr="0075557E">
              <w:rPr>
                <w:rFonts w:ascii="Arial" w:hAnsi="Arial" w:cs="Arial"/>
                <w:b/>
                <w:bCs/>
                <w:sz w:val="20"/>
                <w:lang w:val="el-GR"/>
              </w:rPr>
              <w:t xml:space="preserve">% </w:t>
            </w:r>
            <w:r w:rsidR="00B008A4" w:rsidRPr="0075557E">
              <w:rPr>
                <w:rFonts w:ascii="Arial" w:hAnsi="Arial" w:cs="Arial"/>
                <w:b/>
                <w:bCs/>
                <w:sz w:val="20"/>
                <w:lang w:val="el-GR"/>
              </w:rPr>
              <w:t>μεταβολή</w:t>
            </w:r>
          </w:p>
        </w:tc>
        <w:tc>
          <w:tcPr>
            <w:tcW w:w="1152" w:type="dxa"/>
            <w:tcBorders>
              <w:top w:val="single" w:sz="8" w:space="0" w:color="auto"/>
            </w:tcBorders>
            <w:vAlign w:val="center"/>
          </w:tcPr>
          <w:p w:rsidR="006863DD" w:rsidRPr="0075557E" w:rsidRDefault="0023758E" w:rsidP="002F5474">
            <w:pPr>
              <w:spacing w:before="100" w:beforeAutospacing="1" w:after="100" w:afterAutospacing="1"/>
              <w:jc w:val="center"/>
              <w:rPr>
                <w:rFonts w:ascii="Arial" w:hAnsi="Arial" w:cs="Arial"/>
                <w:b/>
                <w:bCs/>
                <w:sz w:val="20"/>
                <w:lang w:val="el-GR"/>
              </w:rPr>
            </w:pPr>
            <w:bookmarkStart w:id="3" w:name="OLE_LINK13"/>
            <w:bookmarkStart w:id="4" w:name="OLE_LINK14"/>
            <w:r w:rsidRPr="0075557E">
              <w:rPr>
                <w:rFonts w:ascii="Arial" w:hAnsi="Arial" w:cs="Arial"/>
                <w:b/>
                <w:bCs/>
                <w:sz w:val="20"/>
                <w:lang w:val="el-GR"/>
              </w:rPr>
              <w:t>9M</w:t>
            </w:r>
            <w:r w:rsidR="006863DD" w:rsidRPr="0075557E">
              <w:rPr>
                <w:rFonts w:ascii="Arial" w:hAnsi="Arial" w:cs="Arial"/>
                <w:b/>
                <w:bCs/>
                <w:sz w:val="20"/>
                <w:lang w:val="el-GR"/>
              </w:rPr>
              <w:t xml:space="preserve"> 201</w:t>
            </w:r>
            <w:bookmarkEnd w:id="3"/>
            <w:bookmarkEnd w:id="4"/>
            <w:r w:rsidR="006B2F57" w:rsidRPr="0075557E">
              <w:rPr>
                <w:rFonts w:ascii="Arial" w:hAnsi="Arial" w:cs="Arial"/>
                <w:b/>
                <w:bCs/>
                <w:sz w:val="20"/>
                <w:lang w:val="el-GR"/>
              </w:rPr>
              <w:t>4</w:t>
            </w:r>
          </w:p>
        </w:tc>
        <w:tc>
          <w:tcPr>
            <w:tcW w:w="1152" w:type="dxa"/>
            <w:tcBorders>
              <w:top w:val="single" w:sz="8" w:space="0" w:color="auto"/>
              <w:right w:val="single" w:sz="8" w:space="0" w:color="auto"/>
            </w:tcBorders>
            <w:vAlign w:val="center"/>
          </w:tcPr>
          <w:p w:rsidR="006863DD" w:rsidRPr="0075557E" w:rsidRDefault="0023758E" w:rsidP="002F5474">
            <w:pPr>
              <w:spacing w:before="100" w:beforeAutospacing="1" w:after="100" w:afterAutospacing="1"/>
              <w:jc w:val="center"/>
              <w:rPr>
                <w:rFonts w:ascii="Arial" w:hAnsi="Arial" w:cs="Arial"/>
                <w:b/>
                <w:bCs/>
                <w:sz w:val="20"/>
                <w:lang w:val="el-GR"/>
              </w:rPr>
            </w:pPr>
            <w:r w:rsidRPr="0075557E">
              <w:rPr>
                <w:rFonts w:ascii="Arial" w:hAnsi="Arial" w:cs="Arial"/>
                <w:b/>
                <w:bCs/>
                <w:sz w:val="20"/>
                <w:lang w:val="el-GR"/>
              </w:rPr>
              <w:t>9M</w:t>
            </w:r>
            <w:r w:rsidR="006B2F57" w:rsidRPr="0075557E">
              <w:rPr>
                <w:rFonts w:ascii="Arial" w:hAnsi="Arial" w:cs="Arial"/>
                <w:b/>
                <w:bCs/>
                <w:sz w:val="20"/>
                <w:lang w:val="el-GR"/>
              </w:rPr>
              <w:t>2013</w:t>
            </w:r>
          </w:p>
        </w:tc>
        <w:tc>
          <w:tcPr>
            <w:tcW w:w="1152" w:type="dxa"/>
            <w:tcBorders>
              <w:top w:val="single" w:sz="8" w:space="0" w:color="auto"/>
              <w:right w:val="single" w:sz="8" w:space="0" w:color="auto"/>
            </w:tcBorders>
            <w:vAlign w:val="center"/>
          </w:tcPr>
          <w:p w:rsidR="006863DD" w:rsidRPr="0075557E" w:rsidRDefault="006863DD" w:rsidP="00B008A4">
            <w:pPr>
              <w:spacing w:before="100" w:beforeAutospacing="1" w:after="100" w:afterAutospacing="1"/>
              <w:jc w:val="center"/>
              <w:rPr>
                <w:rFonts w:ascii="Arial" w:hAnsi="Arial" w:cs="Arial"/>
                <w:b/>
                <w:bCs/>
                <w:sz w:val="20"/>
                <w:highlight w:val="yellow"/>
                <w:lang w:val="el-GR"/>
              </w:rPr>
            </w:pPr>
            <w:r w:rsidRPr="0075557E">
              <w:rPr>
                <w:rFonts w:ascii="Arial" w:hAnsi="Arial" w:cs="Arial"/>
                <w:b/>
                <w:bCs/>
                <w:sz w:val="20"/>
                <w:lang w:val="el-GR"/>
              </w:rPr>
              <w:t xml:space="preserve">% </w:t>
            </w:r>
            <w:r w:rsidR="00B008A4" w:rsidRPr="0075557E">
              <w:rPr>
                <w:rFonts w:ascii="Arial" w:hAnsi="Arial" w:cs="Arial"/>
                <w:b/>
                <w:bCs/>
                <w:sz w:val="20"/>
                <w:lang w:val="el-GR"/>
              </w:rPr>
              <w:t>μεταβολή</w:t>
            </w:r>
          </w:p>
        </w:tc>
      </w:tr>
      <w:tr w:rsidR="006863DD" w:rsidRPr="0075557E" w:rsidTr="002F5474">
        <w:trPr>
          <w:trHeight w:val="345"/>
          <w:tblCellSpacing w:w="0" w:type="dxa"/>
          <w:jc w:val="center"/>
        </w:trPr>
        <w:tc>
          <w:tcPr>
            <w:tcW w:w="2304" w:type="dxa"/>
            <w:tcBorders>
              <w:left w:val="single" w:sz="8" w:space="0" w:color="auto"/>
            </w:tcBorders>
            <w:vAlign w:val="center"/>
          </w:tcPr>
          <w:p w:rsidR="006863DD" w:rsidRPr="0075557E" w:rsidRDefault="00B008A4" w:rsidP="002F5474">
            <w:pPr>
              <w:rPr>
                <w:rFonts w:ascii="Arial" w:hAnsi="Arial" w:cs="Arial"/>
                <w:sz w:val="20"/>
                <w:lang w:val="el-GR"/>
              </w:rPr>
            </w:pPr>
            <w:r w:rsidRPr="0075557E">
              <w:rPr>
                <w:rFonts w:ascii="Arial" w:hAnsi="Arial" w:cs="Arial"/>
                <w:sz w:val="20"/>
                <w:lang w:val="el-GR"/>
              </w:rPr>
              <w:t>Έσοδα</w:t>
            </w:r>
          </w:p>
        </w:tc>
        <w:tc>
          <w:tcPr>
            <w:tcW w:w="1152" w:type="dxa"/>
            <w:vAlign w:val="center"/>
          </w:tcPr>
          <w:p w:rsidR="006863DD" w:rsidRPr="0075557E" w:rsidRDefault="003323D9" w:rsidP="002F5474">
            <w:pPr>
              <w:jc w:val="right"/>
              <w:rPr>
                <w:rFonts w:ascii="Arial" w:hAnsi="Arial" w:cs="Arial"/>
                <w:sz w:val="20"/>
                <w:lang w:val="el-GR"/>
              </w:rPr>
            </w:pPr>
            <w:r w:rsidRPr="0075557E">
              <w:rPr>
                <w:rFonts w:ascii="Arial" w:hAnsi="Arial" w:cs="Arial"/>
                <w:sz w:val="20"/>
                <w:lang w:val="el-GR"/>
              </w:rPr>
              <w:t>727</w:t>
            </w:r>
            <w:r w:rsidR="00B008A4" w:rsidRPr="0075557E">
              <w:rPr>
                <w:rFonts w:ascii="Arial" w:hAnsi="Arial" w:cs="Arial"/>
                <w:sz w:val="20"/>
                <w:lang w:val="el-GR"/>
              </w:rPr>
              <w:t>,</w:t>
            </w:r>
            <w:r w:rsidRPr="0075557E">
              <w:rPr>
                <w:rFonts w:ascii="Arial" w:hAnsi="Arial" w:cs="Arial"/>
                <w:sz w:val="20"/>
                <w:lang w:val="el-GR"/>
              </w:rPr>
              <w:t>8</w:t>
            </w:r>
          </w:p>
        </w:tc>
        <w:tc>
          <w:tcPr>
            <w:tcW w:w="1152" w:type="dxa"/>
            <w:vAlign w:val="center"/>
          </w:tcPr>
          <w:p w:rsidR="006863DD" w:rsidRPr="0075557E" w:rsidRDefault="006B2F57" w:rsidP="002F5474">
            <w:pPr>
              <w:jc w:val="right"/>
              <w:rPr>
                <w:rFonts w:ascii="Arial" w:hAnsi="Arial" w:cs="Arial"/>
                <w:sz w:val="20"/>
                <w:lang w:val="el-GR"/>
              </w:rPr>
            </w:pPr>
            <w:r w:rsidRPr="0075557E">
              <w:rPr>
                <w:rFonts w:ascii="Arial" w:hAnsi="Arial" w:cs="Arial"/>
                <w:sz w:val="20"/>
                <w:lang w:val="el-GR"/>
              </w:rPr>
              <w:t>730</w:t>
            </w:r>
            <w:r w:rsidR="00B008A4" w:rsidRPr="0075557E">
              <w:rPr>
                <w:rFonts w:ascii="Arial" w:hAnsi="Arial" w:cs="Arial"/>
                <w:sz w:val="20"/>
                <w:lang w:val="el-GR"/>
              </w:rPr>
              <w:t>,</w:t>
            </w:r>
            <w:r w:rsidRPr="0075557E">
              <w:rPr>
                <w:rFonts w:ascii="Arial" w:hAnsi="Arial" w:cs="Arial"/>
                <w:sz w:val="20"/>
                <w:lang w:val="el-GR"/>
              </w:rPr>
              <w:t>2</w:t>
            </w:r>
          </w:p>
        </w:tc>
        <w:tc>
          <w:tcPr>
            <w:tcW w:w="1152" w:type="dxa"/>
            <w:vAlign w:val="center"/>
          </w:tcPr>
          <w:p w:rsidR="006863DD" w:rsidRPr="0075557E" w:rsidRDefault="003323D9" w:rsidP="002F5474">
            <w:pPr>
              <w:jc w:val="right"/>
              <w:rPr>
                <w:rFonts w:ascii="Arial" w:hAnsi="Arial" w:cs="Arial"/>
                <w:sz w:val="20"/>
                <w:lang w:val="el-GR"/>
              </w:rPr>
            </w:pPr>
            <w:r w:rsidRPr="0075557E">
              <w:rPr>
                <w:rFonts w:ascii="Arial" w:hAnsi="Arial" w:cs="Arial"/>
                <w:sz w:val="20"/>
                <w:lang w:val="el-GR"/>
              </w:rPr>
              <w:t>(0</w:t>
            </w:r>
            <w:r w:rsidR="00B008A4" w:rsidRPr="0075557E">
              <w:rPr>
                <w:rFonts w:ascii="Arial" w:hAnsi="Arial" w:cs="Arial"/>
                <w:sz w:val="20"/>
                <w:lang w:val="el-GR"/>
              </w:rPr>
              <w:t>,</w:t>
            </w:r>
            <w:r w:rsidRPr="0075557E">
              <w:rPr>
                <w:rFonts w:ascii="Arial" w:hAnsi="Arial" w:cs="Arial"/>
                <w:sz w:val="20"/>
                <w:lang w:val="el-GR"/>
              </w:rPr>
              <w:t>3</w:t>
            </w:r>
            <w:r w:rsidR="00F9538D" w:rsidRPr="0075557E">
              <w:rPr>
                <w:rFonts w:ascii="Arial" w:hAnsi="Arial" w:cs="Arial"/>
                <w:sz w:val="20"/>
                <w:lang w:val="el-GR"/>
              </w:rPr>
              <w:t>)</w:t>
            </w:r>
          </w:p>
        </w:tc>
        <w:tc>
          <w:tcPr>
            <w:tcW w:w="1152" w:type="dxa"/>
            <w:vAlign w:val="center"/>
          </w:tcPr>
          <w:p w:rsidR="006863DD" w:rsidRPr="0075557E" w:rsidRDefault="003323D9" w:rsidP="00B008A4">
            <w:pPr>
              <w:jc w:val="right"/>
              <w:rPr>
                <w:rFonts w:ascii="Arial" w:hAnsi="Arial" w:cs="Arial"/>
                <w:sz w:val="20"/>
                <w:lang w:val="el-GR"/>
              </w:rPr>
            </w:pPr>
            <w:r w:rsidRPr="0075557E">
              <w:rPr>
                <w:rFonts w:ascii="Arial" w:hAnsi="Arial" w:cs="Arial"/>
                <w:sz w:val="20"/>
                <w:lang w:val="el-GR"/>
              </w:rPr>
              <w:t>2</w:t>
            </w:r>
            <w:r w:rsidR="00B008A4" w:rsidRPr="0075557E">
              <w:rPr>
                <w:rFonts w:ascii="Arial" w:hAnsi="Arial" w:cs="Arial"/>
                <w:sz w:val="20"/>
                <w:lang w:val="el-GR"/>
              </w:rPr>
              <w:t>.</w:t>
            </w:r>
            <w:r w:rsidRPr="0075557E">
              <w:rPr>
                <w:rFonts w:ascii="Arial" w:hAnsi="Arial" w:cs="Arial"/>
                <w:sz w:val="20"/>
                <w:lang w:val="el-GR"/>
              </w:rPr>
              <w:t>260</w:t>
            </w:r>
            <w:r w:rsidR="00B008A4" w:rsidRPr="0075557E">
              <w:rPr>
                <w:rFonts w:ascii="Arial" w:hAnsi="Arial" w:cs="Arial"/>
                <w:sz w:val="20"/>
                <w:lang w:val="el-GR"/>
              </w:rPr>
              <w:t>,</w:t>
            </w:r>
            <w:r w:rsidRPr="0075557E">
              <w:rPr>
                <w:rFonts w:ascii="Arial" w:hAnsi="Arial" w:cs="Arial"/>
                <w:sz w:val="20"/>
                <w:lang w:val="el-GR"/>
              </w:rPr>
              <w:t>2</w:t>
            </w:r>
          </w:p>
        </w:tc>
        <w:tc>
          <w:tcPr>
            <w:tcW w:w="1152" w:type="dxa"/>
            <w:tcBorders>
              <w:right w:val="single" w:sz="8" w:space="0" w:color="auto"/>
            </w:tcBorders>
            <w:vAlign w:val="center"/>
          </w:tcPr>
          <w:p w:rsidR="006863DD" w:rsidRPr="0075557E" w:rsidRDefault="00F90DFD" w:rsidP="006B2F57">
            <w:pPr>
              <w:jc w:val="right"/>
              <w:rPr>
                <w:rFonts w:ascii="Arial" w:hAnsi="Arial" w:cs="Arial"/>
                <w:sz w:val="20"/>
                <w:lang w:val="el-GR"/>
              </w:rPr>
            </w:pPr>
            <w:r w:rsidRPr="0075557E">
              <w:rPr>
                <w:rFonts w:ascii="Arial" w:hAnsi="Arial" w:cs="Arial"/>
                <w:sz w:val="20"/>
                <w:lang w:val="el-GR"/>
              </w:rPr>
              <w:t>2,</w:t>
            </w:r>
            <w:r w:rsidR="006B2F57" w:rsidRPr="0075557E">
              <w:rPr>
                <w:rFonts w:ascii="Arial" w:hAnsi="Arial" w:cs="Arial"/>
                <w:sz w:val="20"/>
                <w:lang w:val="el-GR"/>
              </w:rPr>
              <w:t>289</w:t>
            </w:r>
            <w:r w:rsidR="00B008A4" w:rsidRPr="0075557E">
              <w:rPr>
                <w:rFonts w:ascii="Arial" w:hAnsi="Arial" w:cs="Arial"/>
                <w:sz w:val="20"/>
                <w:lang w:val="el-GR"/>
              </w:rPr>
              <w:t>,</w:t>
            </w:r>
            <w:r w:rsidR="006B2F57" w:rsidRPr="0075557E">
              <w:rPr>
                <w:rFonts w:ascii="Arial" w:hAnsi="Arial" w:cs="Arial"/>
                <w:sz w:val="20"/>
                <w:lang w:val="el-GR"/>
              </w:rPr>
              <w:t>7</w:t>
            </w:r>
          </w:p>
        </w:tc>
        <w:tc>
          <w:tcPr>
            <w:tcW w:w="1152" w:type="dxa"/>
            <w:tcBorders>
              <w:right w:val="single" w:sz="8" w:space="0" w:color="auto"/>
            </w:tcBorders>
            <w:vAlign w:val="center"/>
          </w:tcPr>
          <w:p w:rsidR="006863DD" w:rsidRPr="0075557E" w:rsidRDefault="00202E4B" w:rsidP="002F5474">
            <w:pPr>
              <w:jc w:val="right"/>
              <w:rPr>
                <w:rFonts w:ascii="Arial" w:hAnsi="Arial" w:cs="Arial"/>
                <w:sz w:val="20"/>
                <w:highlight w:val="yellow"/>
                <w:lang w:val="el-GR"/>
              </w:rPr>
            </w:pPr>
            <w:r w:rsidRPr="0075557E">
              <w:rPr>
                <w:rFonts w:ascii="Arial" w:hAnsi="Arial" w:cs="Arial"/>
                <w:sz w:val="20"/>
                <w:lang w:val="el-GR"/>
              </w:rPr>
              <w:t>(1</w:t>
            </w:r>
            <w:r w:rsidR="00B008A4" w:rsidRPr="0075557E">
              <w:rPr>
                <w:rFonts w:ascii="Arial" w:hAnsi="Arial" w:cs="Arial"/>
                <w:sz w:val="20"/>
                <w:lang w:val="el-GR"/>
              </w:rPr>
              <w:t>,</w:t>
            </w:r>
            <w:r w:rsidRPr="0075557E">
              <w:rPr>
                <w:rFonts w:ascii="Arial" w:hAnsi="Arial" w:cs="Arial"/>
                <w:sz w:val="20"/>
                <w:lang w:val="el-GR"/>
              </w:rPr>
              <w:t>3)</w:t>
            </w:r>
          </w:p>
        </w:tc>
      </w:tr>
      <w:tr w:rsidR="006863DD" w:rsidRPr="0075557E" w:rsidTr="002F5474">
        <w:trPr>
          <w:trHeight w:val="345"/>
          <w:tblCellSpacing w:w="0" w:type="dxa"/>
          <w:jc w:val="center"/>
        </w:trPr>
        <w:tc>
          <w:tcPr>
            <w:tcW w:w="2304" w:type="dxa"/>
            <w:tcBorders>
              <w:left w:val="single" w:sz="8" w:space="0" w:color="auto"/>
            </w:tcBorders>
            <w:vAlign w:val="center"/>
          </w:tcPr>
          <w:p w:rsidR="006863DD" w:rsidRPr="0075557E" w:rsidRDefault="00B008A4" w:rsidP="002F5474">
            <w:pPr>
              <w:rPr>
                <w:rFonts w:ascii="Arial" w:hAnsi="Arial" w:cs="Arial"/>
                <w:b/>
                <w:sz w:val="20"/>
                <w:lang w:val="el-GR"/>
              </w:rPr>
            </w:pPr>
            <w:r w:rsidRPr="0075557E">
              <w:rPr>
                <w:rStyle w:val="Strong"/>
                <w:rFonts w:ascii="Arial" w:hAnsi="Arial" w:cs="Arial"/>
                <w:b w:val="0"/>
                <w:sz w:val="20"/>
                <w:lang w:val="el-GR"/>
              </w:rPr>
              <w:t>Λειτουργικά κέρδη προ φόρων, τόκων και αποσβέσεων (</w:t>
            </w:r>
            <w:r w:rsidR="006863DD" w:rsidRPr="0075557E">
              <w:rPr>
                <w:rStyle w:val="Strong"/>
                <w:rFonts w:ascii="Arial" w:hAnsi="Arial" w:cs="Arial"/>
                <w:b w:val="0"/>
                <w:sz w:val="20"/>
                <w:lang w:val="el-GR"/>
              </w:rPr>
              <w:t>EBITDA</w:t>
            </w:r>
            <w:r w:rsidRPr="0075557E">
              <w:rPr>
                <w:rStyle w:val="Strong"/>
                <w:rFonts w:ascii="Arial" w:hAnsi="Arial" w:cs="Arial"/>
                <w:b w:val="0"/>
                <w:sz w:val="20"/>
                <w:lang w:val="el-GR"/>
              </w:rPr>
              <w:t>)</w:t>
            </w:r>
          </w:p>
        </w:tc>
        <w:tc>
          <w:tcPr>
            <w:tcW w:w="1152" w:type="dxa"/>
            <w:vAlign w:val="center"/>
          </w:tcPr>
          <w:p w:rsidR="006863DD" w:rsidRPr="0075557E" w:rsidRDefault="003323D9" w:rsidP="002F5474">
            <w:pPr>
              <w:jc w:val="right"/>
              <w:rPr>
                <w:rFonts w:ascii="Arial" w:hAnsi="Arial" w:cs="Arial"/>
                <w:b/>
                <w:sz w:val="20"/>
                <w:lang w:val="el-GR"/>
              </w:rPr>
            </w:pPr>
            <w:r w:rsidRPr="0075557E">
              <w:rPr>
                <w:rStyle w:val="Strong"/>
                <w:rFonts w:ascii="Arial" w:hAnsi="Arial" w:cs="Arial"/>
                <w:b w:val="0"/>
                <w:sz w:val="20"/>
                <w:lang w:val="el-GR"/>
              </w:rPr>
              <w:t>252</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c>
          <w:tcPr>
            <w:tcW w:w="1152" w:type="dxa"/>
            <w:vAlign w:val="center"/>
          </w:tcPr>
          <w:p w:rsidR="006863DD" w:rsidRPr="0075557E" w:rsidRDefault="006B2F57" w:rsidP="002F5474">
            <w:pPr>
              <w:jc w:val="right"/>
              <w:rPr>
                <w:rFonts w:ascii="Arial" w:hAnsi="Arial" w:cs="Arial"/>
                <w:b/>
                <w:sz w:val="20"/>
                <w:lang w:val="el-GR"/>
              </w:rPr>
            </w:pPr>
            <w:r w:rsidRPr="0075557E">
              <w:rPr>
                <w:rStyle w:val="Strong"/>
                <w:rFonts w:ascii="Arial" w:hAnsi="Arial" w:cs="Arial"/>
                <w:b w:val="0"/>
                <w:sz w:val="20"/>
                <w:lang w:val="el-GR"/>
              </w:rPr>
              <w:t>219</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0</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15</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817</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4</w:t>
            </w:r>
          </w:p>
        </w:tc>
        <w:tc>
          <w:tcPr>
            <w:tcW w:w="1152" w:type="dxa"/>
            <w:tcBorders>
              <w:right w:val="single" w:sz="8" w:space="0" w:color="auto"/>
            </w:tcBorders>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792</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1</w:t>
            </w:r>
          </w:p>
        </w:tc>
        <w:tc>
          <w:tcPr>
            <w:tcW w:w="1152" w:type="dxa"/>
            <w:tcBorders>
              <w:right w:val="single" w:sz="8" w:space="0" w:color="auto"/>
            </w:tcBorders>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3</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r>
      <w:tr w:rsidR="006863DD" w:rsidRPr="0075557E" w:rsidTr="002F5474">
        <w:trPr>
          <w:trHeight w:val="321"/>
          <w:tblCellSpacing w:w="0" w:type="dxa"/>
          <w:jc w:val="center"/>
        </w:trPr>
        <w:tc>
          <w:tcPr>
            <w:tcW w:w="2304" w:type="dxa"/>
            <w:tcBorders>
              <w:left w:val="single" w:sz="8" w:space="0" w:color="auto"/>
            </w:tcBorders>
            <w:vAlign w:val="center"/>
          </w:tcPr>
          <w:p w:rsidR="006863DD" w:rsidRPr="0075557E" w:rsidRDefault="00B008A4" w:rsidP="00B008A4">
            <w:pPr>
              <w:pStyle w:val="style1"/>
              <w:spacing w:before="0" w:beforeAutospacing="0" w:after="0" w:afterAutospacing="0"/>
              <w:rPr>
                <w:rFonts w:ascii="Arial" w:hAnsi="Arial" w:cs="Arial"/>
                <w:lang w:val="el-GR"/>
              </w:rPr>
            </w:pPr>
            <w:r w:rsidRPr="0075557E">
              <w:rPr>
                <w:rFonts w:ascii="Arial" w:hAnsi="Arial" w:cs="Arial"/>
                <w:lang w:val="el-GR"/>
              </w:rPr>
              <w:t>Λειτουργικά Έσοδα (Κέρδη)</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133</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c>
          <w:tcPr>
            <w:tcW w:w="1152" w:type="dxa"/>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102</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3</w:t>
            </w:r>
          </w:p>
        </w:tc>
        <w:tc>
          <w:tcPr>
            <w:tcW w:w="1152" w:type="dxa"/>
            <w:vAlign w:val="center"/>
          </w:tcPr>
          <w:p w:rsidR="006863DD" w:rsidRPr="0075557E" w:rsidRDefault="00202E4B"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30</w:t>
            </w:r>
            <w:r w:rsidR="00B008A4" w:rsidRPr="0075557E">
              <w:rPr>
                <w:rStyle w:val="Strong"/>
                <w:rFonts w:ascii="Arial" w:hAnsi="Arial" w:cs="Arial"/>
                <w:b w:val="0"/>
                <w:sz w:val="20"/>
                <w:lang w:val="el-GR"/>
              </w:rPr>
              <w:t>,</w:t>
            </w:r>
            <w:r w:rsidR="00AC4B1C" w:rsidRPr="0075557E">
              <w:rPr>
                <w:rStyle w:val="Strong"/>
                <w:rFonts w:ascii="Arial" w:hAnsi="Arial" w:cs="Arial"/>
                <w:b w:val="0"/>
                <w:sz w:val="20"/>
                <w:lang w:val="el-GR"/>
              </w:rPr>
              <w:t>2</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470</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1</w:t>
            </w:r>
          </w:p>
        </w:tc>
        <w:tc>
          <w:tcPr>
            <w:tcW w:w="1152" w:type="dxa"/>
            <w:tcBorders>
              <w:right w:val="single" w:sz="8" w:space="0" w:color="auto"/>
            </w:tcBorders>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455</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3</w:t>
            </w:r>
          </w:p>
        </w:tc>
        <w:tc>
          <w:tcPr>
            <w:tcW w:w="1152" w:type="dxa"/>
            <w:tcBorders>
              <w:right w:val="single" w:sz="8" w:space="0" w:color="auto"/>
            </w:tcBorders>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3</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r>
      <w:tr w:rsidR="006863DD" w:rsidRPr="0075557E" w:rsidTr="002F5474">
        <w:trPr>
          <w:trHeight w:val="246"/>
          <w:tblCellSpacing w:w="0" w:type="dxa"/>
          <w:jc w:val="center"/>
        </w:trPr>
        <w:tc>
          <w:tcPr>
            <w:tcW w:w="2304" w:type="dxa"/>
            <w:tcBorders>
              <w:left w:val="single" w:sz="8" w:space="0" w:color="auto"/>
            </w:tcBorders>
            <w:vAlign w:val="center"/>
          </w:tcPr>
          <w:p w:rsidR="00311777" w:rsidRPr="0075557E" w:rsidRDefault="00B008A4" w:rsidP="00B008A4">
            <w:pPr>
              <w:pStyle w:val="style1"/>
              <w:rPr>
                <w:rFonts w:ascii="Arial" w:hAnsi="Arial" w:cs="Arial"/>
                <w:lang w:val="el-GR"/>
              </w:rPr>
            </w:pPr>
            <w:r w:rsidRPr="0075557E">
              <w:rPr>
                <w:rFonts w:ascii="Arial" w:hAnsi="Arial" w:cs="Arial"/>
                <w:lang w:val="el-GR"/>
              </w:rPr>
              <w:t>Καθαρά Έσοδα (Κέρδη) Αποδιδόμενα στους Μετόχους</w:t>
            </w:r>
          </w:p>
        </w:tc>
        <w:tc>
          <w:tcPr>
            <w:tcW w:w="1152" w:type="dxa"/>
            <w:vAlign w:val="center"/>
          </w:tcPr>
          <w:p w:rsidR="006863DD" w:rsidRPr="0075557E" w:rsidRDefault="003323D9" w:rsidP="002F5474">
            <w:pPr>
              <w:jc w:val="right"/>
              <w:rPr>
                <w:rFonts w:ascii="Arial" w:hAnsi="Arial" w:cs="Arial"/>
                <w:b/>
                <w:sz w:val="20"/>
                <w:lang w:val="el-GR"/>
              </w:rPr>
            </w:pPr>
            <w:r w:rsidRPr="0075557E">
              <w:rPr>
                <w:rStyle w:val="Strong"/>
                <w:rFonts w:ascii="Arial" w:hAnsi="Arial" w:cs="Arial"/>
                <w:b w:val="0"/>
                <w:sz w:val="20"/>
                <w:lang w:val="el-GR"/>
              </w:rPr>
              <w:t>40</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3</w:t>
            </w:r>
          </w:p>
        </w:tc>
        <w:tc>
          <w:tcPr>
            <w:tcW w:w="1152" w:type="dxa"/>
            <w:vAlign w:val="center"/>
          </w:tcPr>
          <w:p w:rsidR="006863DD" w:rsidRPr="0075557E" w:rsidRDefault="006B2F57" w:rsidP="002F5474">
            <w:pPr>
              <w:jc w:val="right"/>
              <w:rPr>
                <w:rFonts w:ascii="Arial" w:hAnsi="Arial" w:cs="Arial"/>
                <w:b/>
                <w:sz w:val="20"/>
                <w:lang w:val="el-GR"/>
              </w:rPr>
            </w:pPr>
            <w:r w:rsidRPr="0075557E">
              <w:rPr>
                <w:rStyle w:val="Strong"/>
                <w:rFonts w:ascii="Arial" w:hAnsi="Arial" w:cs="Arial"/>
                <w:b w:val="0"/>
                <w:sz w:val="20"/>
                <w:lang w:val="el-GR"/>
              </w:rPr>
              <w:t>32</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25</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4</w:t>
            </w:r>
          </w:p>
        </w:tc>
        <w:tc>
          <w:tcPr>
            <w:tcW w:w="1152" w:type="dxa"/>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176</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1</w:t>
            </w:r>
          </w:p>
        </w:tc>
        <w:tc>
          <w:tcPr>
            <w:tcW w:w="1152" w:type="dxa"/>
            <w:tcBorders>
              <w:right w:val="single" w:sz="8" w:space="0" w:color="auto"/>
            </w:tcBorders>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174</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w:t>
            </w:r>
          </w:p>
        </w:tc>
        <w:tc>
          <w:tcPr>
            <w:tcW w:w="1152" w:type="dxa"/>
            <w:tcBorders>
              <w:right w:val="single" w:sz="8" w:space="0" w:color="auto"/>
            </w:tcBorders>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1</w:t>
            </w:r>
          </w:p>
        </w:tc>
      </w:tr>
      <w:tr w:rsidR="006863DD" w:rsidRPr="0075557E" w:rsidTr="002F5474">
        <w:trPr>
          <w:trHeight w:val="246"/>
          <w:tblCellSpacing w:w="0" w:type="dxa"/>
          <w:jc w:val="center"/>
        </w:trPr>
        <w:tc>
          <w:tcPr>
            <w:tcW w:w="2304" w:type="dxa"/>
            <w:tcBorders>
              <w:left w:val="single" w:sz="8" w:space="0" w:color="auto"/>
              <w:bottom w:val="single" w:sz="8" w:space="0" w:color="auto"/>
            </w:tcBorders>
            <w:vAlign w:val="center"/>
          </w:tcPr>
          <w:p w:rsidR="006863DD" w:rsidRPr="0075557E" w:rsidRDefault="00B008A4" w:rsidP="00B008A4">
            <w:pPr>
              <w:pStyle w:val="style1"/>
              <w:rPr>
                <w:rFonts w:ascii="Arial" w:hAnsi="Arial" w:cs="Arial"/>
                <w:lang w:val="el-GR"/>
              </w:rPr>
            </w:pPr>
            <w:r w:rsidRPr="0075557E">
              <w:rPr>
                <w:rFonts w:ascii="Arial" w:hAnsi="Arial" w:cs="Arial"/>
                <w:lang w:val="el-GR"/>
              </w:rPr>
              <w:t>Προσαρμοσμένα Κέρδη ανά Μετοχή</w:t>
            </w:r>
          </w:p>
        </w:tc>
        <w:tc>
          <w:tcPr>
            <w:tcW w:w="1152" w:type="dxa"/>
            <w:tcBorders>
              <w:bottom w:val="single" w:sz="8" w:space="0" w:color="auto"/>
            </w:tcBorders>
            <w:vAlign w:val="center"/>
          </w:tcPr>
          <w:p w:rsidR="006863DD" w:rsidRPr="0075557E" w:rsidRDefault="003323D9" w:rsidP="005C0926">
            <w:pPr>
              <w:jc w:val="right"/>
              <w:rPr>
                <w:rStyle w:val="Strong"/>
                <w:rFonts w:ascii="Arial" w:hAnsi="Arial" w:cs="Arial"/>
                <w:b w:val="0"/>
                <w:bCs w:val="0"/>
                <w:sz w:val="20"/>
                <w:lang w:val="el-GR"/>
              </w:rPr>
            </w:pPr>
            <w:r w:rsidRPr="0075557E">
              <w:rPr>
                <w:rStyle w:val="Strong"/>
                <w:rFonts w:ascii="Arial" w:hAnsi="Arial" w:cs="Arial"/>
                <w:b w:val="0"/>
                <w:sz w:val="20"/>
                <w:lang w:val="el-GR"/>
              </w:rPr>
              <w:t>0</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23</w:t>
            </w:r>
          </w:p>
        </w:tc>
        <w:tc>
          <w:tcPr>
            <w:tcW w:w="1152" w:type="dxa"/>
            <w:tcBorders>
              <w:bottom w:val="single" w:sz="8" w:space="0" w:color="auto"/>
            </w:tcBorders>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0</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18</w:t>
            </w:r>
          </w:p>
        </w:tc>
        <w:tc>
          <w:tcPr>
            <w:tcW w:w="1152" w:type="dxa"/>
            <w:tcBorders>
              <w:bottom w:val="single" w:sz="8" w:space="0" w:color="auto"/>
            </w:tcBorders>
            <w:vAlign w:val="center"/>
          </w:tcPr>
          <w:p w:rsidR="006863DD" w:rsidRPr="0075557E" w:rsidRDefault="003323D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27</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8</w:t>
            </w:r>
          </w:p>
        </w:tc>
        <w:tc>
          <w:tcPr>
            <w:tcW w:w="1152" w:type="dxa"/>
            <w:tcBorders>
              <w:bottom w:val="single" w:sz="8" w:space="0" w:color="auto"/>
            </w:tcBorders>
            <w:vAlign w:val="center"/>
          </w:tcPr>
          <w:p w:rsidR="006863DD" w:rsidRPr="0075557E" w:rsidRDefault="00947A59"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01</w:t>
            </w:r>
          </w:p>
        </w:tc>
        <w:tc>
          <w:tcPr>
            <w:tcW w:w="1152" w:type="dxa"/>
            <w:tcBorders>
              <w:bottom w:val="single" w:sz="8" w:space="0" w:color="auto"/>
              <w:right w:val="single" w:sz="8" w:space="0" w:color="auto"/>
            </w:tcBorders>
            <w:vAlign w:val="center"/>
          </w:tcPr>
          <w:p w:rsidR="006863DD" w:rsidRPr="0075557E" w:rsidRDefault="006B2F57"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1</w:t>
            </w:r>
            <w:r w:rsidR="00B008A4" w:rsidRPr="0075557E">
              <w:rPr>
                <w:rStyle w:val="Strong"/>
                <w:rFonts w:ascii="Arial" w:hAnsi="Arial" w:cs="Arial"/>
                <w:b w:val="0"/>
                <w:sz w:val="20"/>
                <w:lang w:val="el-GR"/>
              </w:rPr>
              <w:t>,</w:t>
            </w:r>
            <w:r w:rsidRPr="0075557E">
              <w:rPr>
                <w:rStyle w:val="Strong"/>
                <w:rFonts w:ascii="Arial" w:hAnsi="Arial" w:cs="Arial"/>
                <w:b w:val="0"/>
                <w:sz w:val="20"/>
                <w:lang w:val="el-GR"/>
              </w:rPr>
              <w:t>01</w:t>
            </w:r>
          </w:p>
        </w:tc>
        <w:tc>
          <w:tcPr>
            <w:tcW w:w="1152" w:type="dxa"/>
            <w:tcBorders>
              <w:bottom w:val="single" w:sz="8" w:space="0" w:color="auto"/>
              <w:right w:val="single" w:sz="8" w:space="0" w:color="auto"/>
            </w:tcBorders>
            <w:vAlign w:val="center"/>
          </w:tcPr>
          <w:p w:rsidR="006863DD" w:rsidRPr="0075557E" w:rsidRDefault="00202E4B" w:rsidP="002F5474">
            <w:pPr>
              <w:jc w:val="right"/>
              <w:rPr>
                <w:rStyle w:val="Strong"/>
                <w:rFonts w:ascii="Arial" w:hAnsi="Arial" w:cs="Arial"/>
                <w:b w:val="0"/>
                <w:bCs w:val="0"/>
                <w:sz w:val="20"/>
                <w:lang w:val="el-GR"/>
              </w:rPr>
            </w:pPr>
            <w:r w:rsidRPr="0075557E">
              <w:rPr>
                <w:rStyle w:val="Strong"/>
                <w:rFonts w:ascii="Arial" w:hAnsi="Arial" w:cs="Arial"/>
                <w:b w:val="0"/>
                <w:sz w:val="20"/>
                <w:lang w:val="el-GR"/>
              </w:rPr>
              <w:t xml:space="preserve">- - </w:t>
            </w:r>
          </w:p>
        </w:tc>
      </w:tr>
    </w:tbl>
    <w:p w:rsidR="006863DD" w:rsidRPr="0075557E" w:rsidRDefault="006863DD" w:rsidP="00686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13"/>
          <w:szCs w:val="13"/>
          <w:lang w:val="el-GR"/>
        </w:rPr>
      </w:pPr>
    </w:p>
    <w:p w:rsidR="006863DD" w:rsidRPr="0075557E" w:rsidRDefault="00B008A4" w:rsidP="00686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13"/>
          <w:szCs w:val="13"/>
          <w:lang w:val="el-GR"/>
        </w:rPr>
      </w:pPr>
      <w:r w:rsidRPr="0075557E">
        <w:rPr>
          <w:rFonts w:ascii="Arial" w:hAnsi="Arial" w:cs="Arial"/>
          <w:sz w:val="13"/>
          <w:szCs w:val="13"/>
          <w:lang w:val="el-GR"/>
        </w:rPr>
        <w:t>Τα λειτουργικά κέρδη προ φόρων, τόκων και αποσβέσεων (EBITDA) αποτελούνται κυρίως από τα λειτουργικά έσοδα συν τις αποσβέσεις και απομειώσεις. Το EBITDA θεωρείται εναλλακτικό μέτρο υπολογισμού της απόδοσης το οποίο δεν ορίζεται ως τέτοιο στο πλαίσιο των Διεθνών Προτύπων Χρηματοοικονομικής Πληροφόρησης (ΔΠΧΠ) και, επομένως, ενδέχεται να μην λαμβάνει υπόψη τις απαιτήσεις αναγνώρισης, επιμέτρησης και παρουσίασης που σχετίζονται με τα ΔΠΧΠ. Θεωρούμε ότι το EBITDA συμβάλλει στην επεξήγηση τάσεων στη λειτουργική μας απόδοση, παρέχει χρήσιμες πληροφορίες σχετικά με τη δυνατότητά μας να αναλαμβάνουμε και να εξυπηρετούμε οφειλές, ενώ χρησιμοποιείται ευρέως ως μέτρο της απόδοσης από χρηματιστηριακούς αναλυτές και επενδυτές στον κλάδο των τυχερών παιγνίων. Το EBITDA δεν θα πρέπει να θεωρείται εναλλακτικό των λειτουργικών εσόδων (ως δείκτης της απόδοσής μας) ή των ταμειακών ροών (ως μέτρο της ρευστότητάς μας). Όπως ορίζεται από εμάς, το EBITDA ενδέχεται να μην είναι συγκρίσιμο με άλλες μεθόδους που φέρουν παρόμοια ονομασία και χρησιμοποιούνται από άλλες επιχειρήσεις.</w:t>
      </w:r>
    </w:p>
    <w:p w:rsidR="006863DD" w:rsidRPr="0075557E" w:rsidRDefault="006863DD" w:rsidP="006863DD">
      <w:pPr>
        <w:pStyle w:val="style1"/>
        <w:spacing w:before="0" w:beforeAutospacing="0" w:after="0" w:afterAutospacing="0"/>
        <w:jc w:val="both"/>
        <w:rPr>
          <w:rFonts w:ascii="Arial" w:hAnsi="Arial" w:cs="Arial"/>
          <w:iCs/>
          <w:lang w:val="el-GR"/>
        </w:rPr>
      </w:pPr>
    </w:p>
    <w:p w:rsidR="00CD1AEE" w:rsidRPr="0075557E" w:rsidRDefault="00391DED" w:rsidP="006863DD">
      <w:pPr>
        <w:pStyle w:val="style1"/>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ΡΩΜΗ </w:t>
      </w:r>
      <w:r w:rsidR="006863DD" w:rsidRPr="0075557E">
        <w:rPr>
          <w:rFonts w:ascii="Arial" w:hAnsi="Arial" w:cs="Arial"/>
          <w:sz w:val="18"/>
          <w:szCs w:val="18"/>
          <w:lang w:val="el-GR"/>
        </w:rPr>
        <w:t>(</w:t>
      </w:r>
      <w:r w:rsidRPr="0075557E">
        <w:rPr>
          <w:rFonts w:ascii="Arial" w:hAnsi="Arial" w:cs="Arial"/>
          <w:sz w:val="18"/>
          <w:szCs w:val="18"/>
          <w:lang w:val="el-GR"/>
        </w:rPr>
        <w:t>ΙΤΑΛΙΑ</w:t>
      </w:r>
      <w:r w:rsidR="006863DD" w:rsidRPr="0075557E">
        <w:rPr>
          <w:rFonts w:ascii="Arial" w:hAnsi="Arial" w:cs="Arial"/>
          <w:sz w:val="18"/>
          <w:szCs w:val="18"/>
          <w:lang w:val="el-GR"/>
        </w:rPr>
        <w:t xml:space="preserve">) </w:t>
      </w:r>
      <w:r w:rsidRPr="0075557E">
        <w:rPr>
          <w:rFonts w:ascii="Arial" w:hAnsi="Arial" w:cs="Arial"/>
          <w:sz w:val="18"/>
          <w:szCs w:val="18"/>
          <w:lang w:val="el-GR"/>
        </w:rPr>
        <w:t xml:space="preserve">και </w:t>
      </w:r>
      <w:r w:rsidR="006863DD" w:rsidRPr="0075557E">
        <w:rPr>
          <w:rFonts w:ascii="Arial" w:hAnsi="Arial" w:cs="Arial"/>
          <w:sz w:val="18"/>
          <w:szCs w:val="18"/>
          <w:lang w:val="el-GR"/>
        </w:rPr>
        <w:t>PROVIDENCE, RHODE ISLAND (</w:t>
      </w:r>
      <w:r w:rsidRPr="0075557E">
        <w:rPr>
          <w:rFonts w:ascii="Arial" w:hAnsi="Arial" w:cs="Arial"/>
          <w:sz w:val="18"/>
          <w:szCs w:val="18"/>
          <w:lang w:val="el-GR"/>
        </w:rPr>
        <w:t>ΗΠΑ</w:t>
      </w:r>
      <w:r w:rsidR="006863DD" w:rsidRPr="0075557E">
        <w:rPr>
          <w:rFonts w:ascii="Arial" w:hAnsi="Arial" w:cs="Arial"/>
          <w:sz w:val="18"/>
          <w:szCs w:val="18"/>
          <w:lang w:val="el-GR"/>
        </w:rPr>
        <w:t>)</w:t>
      </w:r>
      <w:r w:rsidR="00CD1AEE" w:rsidRPr="0075557E">
        <w:rPr>
          <w:rFonts w:ascii="Arial" w:hAnsi="Arial" w:cs="Arial"/>
          <w:sz w:val="18"/>
          <w:szCs w:val="18"/>
          <w:lang w:val="el-GR"/>
        </w:rPr>
        <w:t xml:space="preserve">, </w:t>
      </w:r>
      <w:r w:rsidRPr="0075557E">
        <w:rPr>
          <w:rFonts w:ascii="Arial" w:hAnsi="Arial" w:cs="Arial"/>
          <w:sz w:val="18"/>
          <w:szCs w:val="18"/>
          <w:lang w:val="el-GR"/>
        </w:rPr>
        <w:t xml:space="preserve">10 Νοεμβρίου </w:t>
      </w:r>
      <w:r w:rsidR="003323D9" w:rsidRPr="0075557E">
        <w:rPr>
          <w:rFonts w:ascii="Arial" w:hAnsi="Arial" w:cs="Arial"/>
          <w:sz w:val="18"/>
          <w:szCs w:val="18"/>
          <w:lang w:val="el-GR"/>
        </w:rPr>
        <w:t>2014</w:t>
      </w:r>
      <w:r w:rsidR="006863DD" w:rsidRPr="0075557E">
        <w:rPr>
          <w:rFonts w:ascii="Arial" w:hAnsi="Arial" w:cs="Arial"/>
          <w:sz w:val="18"/>
          <w:szCs w:val="18"/>
          <w:lang w:val="el-GR"/>
        </w:rPr>
        <w:t xml:space="preserve"> – </w:t>
      </w:r>
      <w:r w:rsidR="00CD1AEE" w:rsidRPr="0075557E">
        <w:rPr>
          <w:rFonts w:ascii="Arial" w:hAnsi="Arial" w:cs="Arial"/>
          <w:sz w:val="18"/>
          <w:szCs w:val="18"/>
          <w:lang w:val="el-GR"/>
        </w:rPr>
        <w:t>Το Διοικητικό Συμβούλιο της GTECH S.p.A., υπό την προεδρία του Lorenzo Pellicioli, εξέτασε τα ενοποιημένα αποτελέσματα του τρίτου τριμήνου και του εννεαμήνου και ενέκρινε τις οικονομικές καταστάσεις για εννεάμηνο του τρέχοντος οικονομικού έτους, το οποίο έληξε στις 30 Σεπτεμβρίου 2014.</w:t>
      </w:r>
    </w:p>
    <w:p w:rsidR="00CD1AEE" w:rsidRPr="0075557E" w:rsidRDefault="00CD1AEE" w:rsidP="006863DD">
      <w:pPr>
        <w:pStyle w:val="style1"/>
        <w:spacing w:before="0" w:beforeAutospacing="0" w:after="0" w:afterAutospacing="0"/>
        <w:jc w:val="both"/>
        <w:rPr>
          <w:rFonts w:ascii="Arial" w:hAnsi="Arial" w:cs="Arial"/>
          <w:sz w:val="18"/>
          <w:szCs w:val="18"/>
          <w:lang w:val="el-GR"/>
        </w:rPr>
      </w:pPr>
    </w:p>
    <w:p w:rsidR="002D5FC0" w:rsidRPr="0075557E" w:rsidRDefault="000E74EC" w:rsidP="00EC65BE">
      <w:pPr>
        <w:jc w:val="both"/>
        <w:rPr>
          <w:rFonts w:ascii="Arial" w:hAnsi="Arial" w:cs="Arial"/>
          <w:color w:val="000000"/>
          <w:sz w:val="18"/>
          <w:szCs w:val="18"/>
          <w:lang w:val="el-GR"/>
        </w:rPr>
      </w:pPr>
      <w:r w:rsidRPr="0075557E">
        <w:rPr>
          <w:rFonts w:ascii="Arial" w:hAnsi="Arial" w:cs="Arial"/>
          <w:i/>
          <w:color w:val="000000"/>
          <w:sz w:val="18"/>
          <w:szCs w:val="18"/>
          <w:lang w:val="el-GR"/>
        </w:rPr>
        <w:t>«</w:t>
      </w:r>
      <w:r w:rsidR="00E82779">
        <w:rPr>
          <w:rFonts w:ascii="Arial" w:hAnsi="Arial" w:cs="Arial"/>
          <w:i/>
          <w:color w:val="000000"/>
          <w:sz w:val="18"/>
          <w:szCs w:val="18"/>
          <w:lang w:val="el-GR"/>
        </w:rPr>
        <w:t>Σε ένα ισχυρό τρίμηνο</w:t>
      </w:r>
      <w:r w:rsidRPr="0075557E">
        <w:rPr>
          <w:rFonts w:ascii="Arial" w:hAnsi="Arial" w:cs="Arial"/>
          <w:i/>
          <w:color w:val="000000"/>
          <w:sz w:val="18"/>
          <w:szCs w:val="18"/>
          <w:lang w:val="el-GR"/>
        </w:rPr>
        <w:t xml:space="preserve">, </w:t>
      </w:r>
      <w:r w:rsidR="0009321E" w:rsidRPr="0075557E">
        <w:rPr>
          <w:rFonts w:ascii="Arial" w:hAnsi="Arial" w:cs="Arial"/>
          <w:i/>
          <w:color w:val="000000"/>
          <w:sz w:val="18"/>
          <w:szCs w:val="18"/>
          <w:lang w:val="el-GR"/>
        </w:rPr>
        <w:t xml:space="preserve">κατορθώσαμε να </w:t>
      </w:r>
      <w:r w:rsidRPr="0075557E">
        <w:rPr>
          <w:rFonts w:ascii="Arial" w:hAnsi="Arial" w:cs="Arial"/>
          <w:i/>
          <w:color w:val="000000"/>
          <w:sz w:val="18"/>
          <w:szCs w:val="18"/>
          <w:lang w:val="el-GR"/>
        </w:rPr>
        <w:t xml:space="preserve">αναπληρώσουμε </w:t>
      </w:r>
      <w:r w:rsidR="00E82779">
        <w:rPr>
          <w:rFonts w:ascii="Arial" w:hAnsi="Arial" w:cs="Arial"/>
          <w:i/>
          <w:color w:val="000000"/>
          <w:sz w:val="18"/>
          <w:szCs w:val="18"/>
          <w:lang w:val="el-GR"/>
        </w:rPr>
        <w:t>τα έσοδα που προ</w:t>
      </w:r>
      <w:r w:rsidR="009B1B7A">
        <w:rPr>
          <w:rFonts w:ascii="Arial" w:hAnsi="Arial" w:cs="Arial"/>
          <w:i/>
          <w:color w:val="000000"/>
          <w:sz w:val="18"/>
          <w:szCs w:val="18"/>
          <w:lang w:val="el-GR"/>
        </w:rPr>
        <w:t>ή</w:t>
      </w:r>
      <w:r w:rsidR="00E82779">
        <w:rPr>
          <w:rFonts w:ascii="Arial" w:hAnsi="Arial" w:cs="Arial"/>
          <w:i/>
          <w:color w:val="000000"/>
          <w:sz w:val="18"/>
          <w:szCs w:val="18"/>
          <w:lang w:val="el-GR"/>
        </w:rPr>
        <w:t xml:space="preserve">λθαν από </w:t>
      </w:r>
      <w:r w:rsidR="0009321E" w:rsidRPr="0075557E">
        <w:rPr>
          <w:rFonts w:ascii="Arial" w:hAnsi="Arial" w:cs="Arial"/>
          <w:i/>
          <w:color w:val="000000"/>
          <w:sz w:val="18"/>
          <w:szCs w:val="18"/>
          <w:lang w:val="el-GR"/>
        </w:rPr>
        <w:t xml:space="preserve">τις σημαντικές πωλήσεις προϊόντων </w:t>
      </w:r>
      <w:r w:rsidR="00762682">
        <w:rPr>
          <w:rFonts w:ascii="Arial" w:hAnsi="Arial" w:cs="Arial"/>
          <w:i/>
          <w:color w:val="000000"/>
          <w:sz w:val="18"/>
          <w:szCs w:val="18"/>
          <w:lang w:val="el-GR"/>
        </w:rPr>
        <w:t xml:space="preserve">εντός </w:t>
      </w:r>
      <w:r w:rsidR="0009321E" w:rsidRPr="0075557E">
        <w:rPr>
          <w:rFonts w:ascii="Arial" w:hAnsi="Arial" w:cs="Arial"/>
          <w:i/>
          <w:color w:val="000000"/>
          <w:sz w:val="18"/>
          <w:szCs w:val="18"/>
          <w:lang w:val="el-GR"/>
        </w:rPr>
        <w:t xml:space="preserve">του 2013 </w:t>
      </w:r>
      <w:r w:rsidR="00762682">
        <w:rPr>
          <w:rFonts w:ascii="Arial" w:hAnsi="Arial" w:cs="Arial"/>
          <w:i/>
          <w:color w:val="000000"/>
          <w:sz w:val="18"/>
          <w:szCs w:val="18"/>
          <w:lang w:val="el-GR"/>
        </w:rPr>
        <w:t xml:space="preserve">αλλά </w:t>
      </w:r>
      <w:r w:rsidR="0009321E" w:rsidRPr="0075557E">
        <w:rPr>
          <w:rFonts w:ascii="Arial" w:hAnsi="Arial" w:cs="Arial"/>
          <w:i/>
          <w:color w:val="000000"/>
          <w:sz w:val="18"/>
          <w:szCs w:val="18"/>
          <w:lang w:val="el-GR"/>
        </w:rPr>
        <w:t xml:space="preserve">και τη χαμηλότερη δραστηριότητα </w:t>
      </w:r>
      <w:r w:rsidRPr="0075557E">
        <w:rPr>
          <w:rFonts w:ascii="Arial" w:hAnsi="Arial" w:cs="Arial"/>
          <w:i/>
          <w:color w:val="000000"/>
          <w:sz w:val="18"/>
          <w:szCs w:val="18"/>
          <w:lang w:val="el-GR"/>
        </w:rPr>
        <w:t xml:space="preserve">τζακ-ποτ </w:t>
      </w:r>
      <w:r w:rsidR="00762682">
        <w:rPr>
          <w:rFonts w:ascii="Arial" w:hAnsi="Arial" w:cs="Arial"/>
          <w:i/>
          <w:color w:val="000000"/>
          <w:sz w:val="18"/>
          <w:szCs w:val="18"/>
          <w:lang w:val="el-GR"/>
        </w:rPr>
        <w:t xml:space="preserve">στο τρέχον </w:t>
      </w:r>
      <w:r w:rsidR="00B41E45">
        <w:rPr>
          <w:rFonts w:ascii="Arial" w:hAnsi="Arial" w:cs="Arial"/>
          <w:i/>
          <w:color w:val="000000"/>
          <w:sz w:val="18"/>
          <w:szCs w:val="18"/>
          <w:lang w:val="el-GR"/>
        </w:rPr>
        <w:t>έτος</w:t>
      </w:r>
      <w:r w:rsidRPr="0075557E">
        <w:rPr>
          <w:rFonts w:ascii="Arial" w:hAnsi="Arial" w:cs="Arial"/>
          <w:i/>
          <w:color w:val="000000"/>
          <w:sz w:val="18"/>
          <w:szCs w:val="18"/>
          <w:lang w:val="el-GR"/>
        </w:rPr>
        <w:t xml:space="preserve">, και να επιτύχουμε </w:t>
      </w:r>
      <w:r w:rsidRPr="0075557E">
        <w:rPr>
          <w:rFonts w:ascii="Arial" w:hAnsi="Arial" w:cs="Arial"/>
          <w:i/>
          <w:color w:val="000000"/>
          <w:sz w:val="18"/>
          <w:szCs w:val="18"/>
          <w:lang w:val="el-GR"/>
        </w:rPr>
        <w:lastRenderedPageBreak/>
        <w:t xml:space="preserve">σταθερά έσοδα και υψηλότερη κερδοφορία, χάρη στην </w:t>
      </w:r>
      <w:r w:rsidR="00762682">
        <w:rPr>
          <w:rFonts w:ascii="Arial" w:hAnsi="Arial" w:cs="Arial"/>
          <w:i/>
          <w:color w:val="000000"/>
          <w:sz w:val="18"/>
          <w:szCs w:val="18"/>
          <w:lang w:val="el-GR"/>
        </w:rPr>
        <w:t>διαφοροποιημένη</w:t>
      </w:r>
      <w:r w:rsidR="00762682" w:rsidRPr="0075557E">
        <w:rPr>
          <w:rFonts w:ascii="Arial" w:hAnsi="Arial" w:cs="Arial"/>
          <w:i/>
          <w:color w:val="000000"/>
          <w:sz w:val="18"/>
          <w:szCs w:val="18"/>
          <w:lang w:val="el-GR"/>
        </w:rPr>
        <w:t xml:space="preserve"> </w:t>
      </w:r>
      <w:r w:rsidRPr="0075557E">
        <w:rPr>
          <w:rFonts w:ascii="Arial" w:hAnsi="Arial" w:cs="Arial"/>
          <w:i/>
          <w:color w:val="000000"/>
          <w:sz w:val="18"/>
          <w:szCs w:val="18"/>
          <w:lang w:val="el-GR"/>
        </w:rPr>
        <w:t xml:space="preserve">βάση των εσόδων μας», </w:t>
      </w:r>
      <w:r w:rsidRPr="0075557E">
        <w:rPr>
          <w:rFonts w:ascii="Arial" w:hAnsi="Arial" w:cs="Arial"/>
          <w:b/>
          <w:color w:val="000000"/>
          <w:sz w:val="18"/>
          <w:szCs w:val="18"/>
          <w:lang w:val="el-GR"/>
        </w:rPr>
        <w:t>δήλωσε ο Marco Sala, Διευθύνων Σύμβουλος (CEO) της GTECH S.p.A.</w:t>
      </w:r>
      <w:r w:rsidRPr="0075557E">
        <w:rPr>
          <w:rFonts w:ascii="Arial" w:hAnsi="Arial" w:cs="Arial"/>
          <w:i/>
          <w:color w:val="000000"/>
          <w:sz w:val="18"/>
          <w:szCs w:val="18"/>
          <w:lang w:val="el-GR"/>
        </w:rPr>
        <w:t xml:space="preserve"> «Η </w:t>
      </w:r>
      <w:r w:rsidR="00762682">
        <w:rPr>
          <w:rFonts w:ascii="Arial" w:hAnsi="Arial" w:cs="Arial"/>
          <w:i/>
          <w:color w:val="000000"/>
          <w:sz w:val="18"/>
          <w:szCs w:val="18"/>
          <w:lang w:val="el-GR"/>
        </w:rPr>
        <w:t xml:space="preserve">προγραμματισμένη </w:t>
      </w:r>
      <w:r w:rsidRPr="0075557E">
        <w:rPr>
          <w:rFonts w:ascii="Arial" w:hAnsi="Arial" w:cs="Arial"/>
          <w:i/>
          <w:color w:val="000000"/>
          <w:sz w:val="18"/>
          <w:szCs w:val="18"/>
          <w:lang w:val="el-GR"/>
        </w:rPr>
        <w:t xml:space="preserve">εξαγορά της IGT εξελίσσεται </w:t>
      </w:r>
      <w:r w:rsidR="00762682">
        <w:rPr>
          <w:rFonts w:ascii="Arial" w:hAnsi="Arial" w:cs="Arial"/>
          <w:i/>
          <w:color w:val="000000"/>
          <w:sz w:val="18"/>
          <w:szCs w:val="18"/>
          <w:lang w:val="el-GR"/>
        </w:rPr>
        <w:t xml:space="preserve">με </w:t>
      </w:r>
      <w:r w:rsidR="00525E48">
        <w:rPr>
          <w:rFonts w:ascii="Arial" w:hAnsi="Arial" w:cs="Arial"/>
          <w:i/>
          <w:color w:val="000000"/>
          <w:sz w:val="18"/>
          <w:szCs w:val="18"/>
          <w:lang w:val="el-GR"/>
        </w:rPr>
        <w:t>βάση</w:t>
      </w:r>
      <w:r w:rsidRPr="0075557E">
        <w:rPr>
          <w:rFonts w:ascii="Arial" w:hAnsi="Arial" w:cs="Arial"/>
          <w:i/>
          <w:color w:val="000000"/>
          <w:sz w:val="18"/>
          <w:szCs w:val="18"/>
          <w:lang w:val="el-GR"/>
        </w:rPr>
        <w:t xml:space="preserve"> </w:t>
      </w:r>
      <w:r w:rsidR="00762682">
        <w:rPr>
          <w:rFonts w:ascii="Arial" w:hAnsi="Arial" w:cs="Arial"/>
          <w:i/>
          <w:color w:val="000000"/>
          <w:sz w:val="18"/>
          <w:szCs w:val="18"/>
          <w:lang w:val="el-GR"/>
        </w:rPr>
        <w:t>τον σχεδιασμό</w:t>
      </w:r>
      <w:r w:rsidRPr="0075557E">
        <w:rPr>
          <w:rFonts w:ascii="Arial" w:hAnsi="Arial" w:cs="Arial"/>
          <w:i/>
          <w:color w:val="000000"/>
          <w:sz w:val="18"/>
          <w:szCs w:val="18"/>
          <w:lang w:val="el-GR"/>
        </w:rPr>
        <w:t>».</w:t>
      </w:r>
    </w:p>
    <w:p w:rsidR="006863DD" w:rsidRPr="0075557E" w:rsidRDefault="006863DD" w:rsidP="006863DD">
      <w:pPr>
        <w:jc w:val="both"/>
        <w:rPr>
          <w:rFonts w:ascii="Arial" w:hAnsi="Arial" w:cs="Arial"/>
          <w:i/>
          <w:sz w:val="18"/>
          <w:szCs w:val="18"/>
          <w:lang w:val="el-GR"/>
        </w:rPr>
      </w:pPr>
    </w:p>
    <w:p w:rsidR="006863DD" w:rsidRPr="0075557E" w:rsidRDefault="000E74EC" w:rsidP="00613C86">
      <w:pPr>
        <w:autoSpaceDE w:val="0"/>
        <w:autoSpaceDN w:val="0"/>
        <w:jc w:val="both"/>
        <w:rPr>
          <w:rFonts w:ascii="Arial" w:hAnsi="Arial" w:cs="Arial"/>
          <w:i/>
          <w:sz w:val="18"/>
          <w:szCs w:val="18"/>
          <w:lang w:val="el-GR"/>
        </w:rPr>
      </w:pPr>
      <w:r w:rsidRPr="0075557E">
        <w:rPr>
          <w:rFonts w:ascii="Arial" w:hAnsi="Arial" w:cs="Arial"/>
          <w:i/>
          <w:sz w:val="18"/>
          <w:szCs w:val="18"/>
          <w:lang w:val="el-GR"/>
        </w:rPr>
        <w:t>«</w:t>
      </w:r>
      <w:r w:rsidR="00762682">
        <w:rPr>
          <w:rFonts w:ascii="Arial" w:hAnsi="Arial" w:cs="Arial"/>
          <w:i/>
          <w:sz w:val="18"/>
          <w:szCs w:val="18"/>
          <w:lang w:val="el-GR"/>
        </w:rPr>
        <w:t xml:space="preserve">Είμαστε σταθερά στην κατεύθυνση </w:t>
      </w:r>
      <w:r w:rsidR="009B1B7A">
        <w:rPr>
          <w:rFonts w:ascii="Arial" w:hAnsi="Arial" w:cs="Arial"/>
          <w:i/>
          <w:sz w:val="18"/>
          <w:szCs w:val="18"/>
          <w:lang w:val="el-GR"/>
        </w:rPr>
        <w:t xml:space="preserve">του </w:t>
      </w:r>
      <w:r w:rsidRPr="0075557E">
        <w:rPr>
          <w:rFonts w:ascii="Arial" w:hAnsi="Arial" w:cs="Arial"/>
          <w:i/>
          <w:sz w:val="18"/>
          <w:szCs w:val="18"/>
          <w:lang w:val="el-GR"/>
        </w:rPr>
        <w:t>να ε</w:t>
      </w:r>
      <w:r w:rsidR="00613C86" w:rsidRPr="0075557E">
        <w:rPr>
          <w:rFonts w:ascii="Arial" w:hAnsi="Arial" w:cs="Arial"/>
          <w:i/>
          <w:sz w:val="18"/>
          <w:szCs w:val="18"/>
          <w:lang w:val="el-GR"/>
        </w:rPr>
        <w:t xml:space="preserve">πιτύχουμε τον στόχο για </w:t>
      </w:r>
      <w:r w:rsidR="00B41E45">
        <w:rPr>
          <w:rFonts w:ascii="Arial" w:hAnsi="Arial" w:cs="Arial"/>
          <w:i/>
          <w:sz w:val="18"/>
          <w:szCs w:val="18"/>
          <w:lang w:val="el-GR"/>
        </w:rPr>
        <w:t>οφέλη</w:t>
      </w:r>
      <w:r w:rsidR="009B1B7A">
        <w:rPr>
          <w:rFonts w:ascii="Arial" w:hAnsi="Arial" w:cs="Arial"/>
          <w:i/>
          <w:sz w:val="18"/>
          <w:szCs w:val="18"/>
          <w:lang w:val="el-GR"/>
        </w:rPr>
        <w:t xml:space="preserve"> </w:t>
      </w:r>
      <w:r w:rsidR="00762682" w:rsidRPr="0075557E">
        <w:rPr>
          <w:rFonts w:ascii="Arial" w:hAnsi="Arial" w:cs="Arial"/>
          <w:i/>
          <w:sz w:val="18"/>
          <w:szCs w:val="18"/>
          <w:lang w:val="el-GR"/>
        </w:rPr>
        <w:t>από συνέργειες</w:t>
      </w:r>
      <w:r w:rsidR="00613C86" w:rsidRPr="0075557E">
        <w:rPr>
          <w:rFonts w:ascii="Arial" w:hAnsi="Arial" w:cs="Arial"/>
          <w:i/>
          <w:sz w:val="18"/>
          <w:szCs w:val="18"/>
          <w:lang w:val="el-GR"/>
        </w:rPr>
        <w:t xml:space="preserve"> </w:t>
      </w:r>
      <w:r w:rsidR="00762682">
        <w:rPr>
          <w:rFonts w:ascii="Arial" w:hAnsi="Arial" w:cs="Arial"/>
          <w:i/>
          <w:sz w:val="18"/>
          <w:szCs w:val="18"/>
          <w:lang w:val="el-GR"/>
        </w:rPr>
        <w:t xml:space="preserve">ύψους </w:t>
      </w:r>
      <w:r w:rsidR="00613C86" w:rsidRPr="0075557E">
        <w:rPr>
          <w:rFonts w:ascii="Arial" w:hAnsi="Arial" w:cs="Arial"/>
          <w:i/>
          <w:sz w:val="18"/>
          <w:szCs w:val="18"/>
          <w:lang w:val="el-GR"/>
        </w:rPr>
        <w:t>€40 εκ για το 2014</w:t>
      </w:r>
      <w:r w:rsidRPr="0075557E">
        <w:rPr>
          <w:rFonts w:ascii="Arial" w:hAnsi="Arial" w:cs="Arial"/>
          <w:i/>
          <w:sz w:val="18"/>
          <w:szCs w:val="18"/>
          <w:lang w:val="el-GR"/>
        </w:rPr>
        <w:t xml:space="preserve">», </w:t>
      </w:r>
      <w:r w:rsidRPr="0075557E">
        <w:rPr>
          <w:rFonts w:ascii="Arial" w:hAnsi="Arial" w:cs="Arial"/>
          <w:b/>
          <w:sz w:val="18"/>
          <w:szCs w:val="18"/>
          <w:lang w:val="el-GR"/>
        </w:rPr>
        <w:t>δήλωσε ο Alberto Fornaro, Οικονομικός Διευθυντής (CFO) της GTECH S.p.A.</w:t>
      </w:r>
      <w:r w:rsidRPr="0075557E">
        <w:rPr>
          <w:rFonts w:ascii="Arial" w:hAnsi="Arial" w:cs="Arial"/>
          <w:sz w:val="18"/>
          <w:szCs w:val="18"/>
          <w:lang w:val="el-GR"/>
        </w:rPr>
        <w:t xml:space="preserve"> </w:t>
      </w:r>
      <w:r w:rsidRPr="0075557E">
        <w:rPr>
          <w:rFonts w:ascii="Arial" w:hAnsi="Arial" w:cs="Arial"/>
          <w:i/>
          <w:sz w:val="18"/>
          <w:szCs w:val="18"/>
          <w:lang w:val="el-GR"/>
        </w:rPr>
        <w:t xml:space="preserve">«Με </w:t>
      </w:r>
      <w:r w:rsidR="00613C86" w:rsidRPr="0075557E">
        <w:rPr>
          <w:rFonts w:ascii="Arial" w:hAnsi="Arial" w:cs="Arial"/>
          <w:i/>
          <w:sz w:val="18"/>
          <w:szCs w:val="18"/>
          <w:lang w:val="el-GR"/>
        </w:rPr>
        <w:t xml:space="preserve">τη </w:t>
      </w:r>
      <w:r w:rsidRPr="0075557E">
        <w:rPr>
          <w:rFonts w:ascii="Arial" w:hAnsi="Arial" w:cs="Arial"/>
          <w:i/>
          <w:sz w:val="18"/>
          <w:szCs w:val="18"/>
          <w:lang w:val="el-GR"/>
        </w:rPr>
        <w:t xml:space="preserve">συνεχιζόμενη δημιουργία σημαντικών ταμειακών ροών από επιχειρηματικές δραστηριότητες, αναμένουμε ότι, </w:t>
      </w:r>
      <w:r w:rsidR="00613C86" w:rsidRPr="0075557E">
        <w:rPr>
          <w:rFonts w:ascii="Arial" w:hAnsi="Arial" w:cs="Arial"/>
          <w:i/>
          <w:sz w:val="18"/>
          <w:szCs w:val="18"/>
          <w:lang w:val="el-GR"/>
        </w:rPr>
        <w:t xml:space="preserve">εξαιρουμένων </w:t>
      </w:r>
      <w:r w:rsidRPr="0075557E">
        <w:rPr>
          <w:rFonts w:ascii="Arial" w:hAnsi="Arial" w:cs="Arial"/>
          <w:i/>
          <w:sz w:val="18"/>
          <w:szCs w:val="18"/>
          <w:lang w:val="el-GR"/>
        </w:rPr>
        <w:t xml:space="preserve">των δαπανών που αφορούν </w:t>
      </w:r>
      <w:r w:rsidR="00B41E45">
        <w:rPr>
          <w:rFonts w:ascii="Arial" w:hAnsi="Arial" w:cs="Arial"/>
          <w:i/>
          <w:sz w:val="18"/>
          <w:szCs w:val="18"/>
          <w:lang w:val="el-GR"/>
        </w:rPr>
        <w:t>σ</w:t>
      </w:r>
      <w:r w:rsidRPr="0075557E">
        <w:rPr>
          <w:rFonts w:ascii="Arial" w:hAnsi="Arial" w:cs="Arial"/>
          <w:i/>
          <w:sz w:val="18"/>
          <w:szCs w:val="18"/>
          <w:lang w:val="el-GR"/>
        </w:rPr>
        <w:t xml:space="preserve">την εξαγορά της IGT, θα </w:t>
      </w:r>
      <w:r w:rsidR="00613C86" w:rsidRPr="0075557E">
        <w:rPr>
          <w:rFonts w:ascii="Arial" w:hAnsi="Arial" w:cs="Arial"/>
          <w:i/>
          <w:sz w:val="18"/>
          <w:szCs w:val="18"/>
          <w:lang w:val="el-GR"/>
        </w:rPr>
        <w:t xml:space="preserve">είμαστε σε θέση να </w:t>
      </w:r>
      <w:r w:rsidRPr="0075557E">
        <w:rPr>
          <w:rFonts w:ascii="Arial" w:hAnsi="Arial" w:cs="Arial"/>
          <w:i/>
          <w:sz w:val="18"/>
          <w:szCs w:val="18"/>
          <w:lang w:val="el-GR"/>
        </w:rPr>
        <w:t xml:space="preserve">επιτύχουμε </w:t>
      </w:r>
      <w:r w:rsidR="00613C86" w:rsidRPr="0075557E">
        <w:rPr>
          <w:rFonts w:ascii="Arial" w:hAnsi="Arial" w:cs="Arial"/>
          <w:i/>
          <w:sz w:val="18"/>
          <w:szCs w:val="18"/>
          <w:lang w:val="el-GR"/>
        </w:rPr>
        <w:t xml:space="preserve">με άνεση </w:t>
      </w:r>
      <w:r w:rsidRPr="0075557E">
        <w:rPr>
          <w:rFonts w:ascii="Arial" w:hAnsi="Arial" w:cs="Arial"/>
          <w:i/>
          <w:sz w:val="18"/>
          <w:szCs w:val="18"/>
          <w:lang w:val="el-GR"/>
        </w:rPr>
        <w:t xml:space="preserve">τον </w:t>
      </w:r>
      <w:r w:rsidR="007A6A7D" w:rsidRPr="0075557E">
        <w:rPr>
          <w:rFonts w:ascii="Arial" w:hAnsi="Arial" w:cs="Arial"/>
          <w:i/>
          <w:sz w:val="18"/>
          <w:szCs w:val="18"/>
          <w:lang w:val="el-GR"/>
        </w:rPr>
        <w:t xml:space="preserve">στόχο της Οδηγίας για το 2014 </w:t>
      </w:r>
      <w:r w:rsidR="00613C86" w:rsidRPr="0075557E">
        <w:rPr>
          <w:rFonts w:ascii="Arial" w:hAnsi="Arial" w:cs="Arial"/>
          <w:i/>
          <w:sz w:val="18"/>
          <w:szCs w:val="18"/>
          <w:lang w:val="el-GR"/>
        </w:rPr>
        <w:t xml:space="preserve">ο οποίος αφορά </w:t>
      </w:r>
      <w:r w:rsidR="00B41E45">
        <w:rPr>
          <w:rFonts w:ascii="Arial" w:hAnsi="Arial" w:cs="Arial"/>
          <w:i/>
          <w:sz w:val="18"/>
          <w:szCs w:val="18"/>
          <w:lang w:val="el-GR"/>
        </w:rPr>
        <w:t>σ</w:t>
      </w:r>
      <w:r w:rsidR="007A6A7D" w:rsidRPr="0075557E">
        <w:rPr>
          <w:rFonts w:ascii="Arial" w:hAnsi="Arial" w:cs="Arial"/>
          <w:i/>
          <w:sz w:val="18"/>
          <w:szCs w:val="18"/>
          <w:lang w:val="el-GR"/>
        </w:rPr>
        <w:t>την επίτευξη Καθαρής Οικονομικής Θέσης μεταξύ €2,47 δισ. και €2,53 δισ.</w:t>
      </w:r>
      <w:r w:rsidR="00613C86" w:rsidRPr="0075557E">
        <w:rPr>
          <w:rFonts w:ascii="Arial" w:hAnsi="Arial" w:cs="Arial"/>
          <w:i/>
          <w:sz w:val="18"/>
          <w:szCs w:val="18"/>
          <w:lang w:val="el-GR"/>
        </w:rPr>
        <w:t xml:space="preserve"> στο τέλος του έτους</w:t>
      </w:r>
      <w:r w:rsidR="007A6A7D" w:rsidRPr="0075557E">
        <w:rPr>
          <w:rFonts w:ascii="Arial" w:hAnsi="Arial" w:cs="Arial"/>
          <w:i/>
          <w:sz w:val="18"/>
          <w:szCs w:val="18"/>
          <w:lang w:val="el-GR"/>
        </w:rPr>
        <w:t>».</w:t>
      </w:r>
    </w:p>
    <w:p w:rsidR="00613C86" w:rsidRPr="0075557E" w:rsidRDefault="00613C86" w:rsidP="00613C86">
      <w:pPr>
        <w:autoSpaceDE w:val="0"/>
        <w:autoSpaceDN w:val="0"/>
        <w:jc w:val="both"/>
        <w:rPr>
          <w:rFonts w:ascii="Arial" w:hAnsi="Arial" w:cs="Arial"/>
          <w:sz w:val="18"/>
          <w:szCs w:val="18"/>
          <w:lang w:val="el-GR"/>
        </w:rPr>
      </w:pPr>
    </w:p>
    <w:p w:rsidR="000250F5" w:rsidRPr="0075557E" w:rsidRDefault="007A6A7D" w:rsidP="008B4327">
      <w:pPr>
        <w:jc w:val="both"/>
        <w:rPr>
          <w:rFonts w:ascii="Arial" w:hAnsi="Arial" w:cs="Arial"/>
          <w:color w:val="1F497D"/>
          <w:sz w:val="18"/>
          <w:szCs w:val="18"/>
          <w:lang w:val="el-GR"/>
        </w:rPr>
      </w:pPr>
      <w:r w:rsidRPr="0075557E">
        <w:rPr>
          <w:rFonts w:ascii="Arial" w:hAnsi="Arial" w:cs="Arial"/>
          <w:sz w:val="18"/>
          <w:szCs w:val="18"/>
          <w:lang w:val="el-GR"/>
        </w:rPr>
        <w:t xml:space="preserve">Τα </w:t>
      </w:r>
      <w:r w:rsidRPr="0075557E">
        <w:rPr>
          <w:rFonts w:ascii="Arial" w:hAnsi="Arial" w:cs="Arial"/>
          <w:b/>
          <w:sz w:val="18"/>
          <w:szCs w:val="18"/>
          <w:lang w:val="el-GR"/>
        </w:rPr>
        <w:t xml:space="preserve">ενοποιημένα έσοδα ανήλθαν σε </w:t>
      </w:r>
      <w:bookmarkStart w:id="5" w:name="OLE_LINK39"/>
      <w:bookmarkStart w:id="6" w:name="OLE_LINK40"/>
      <w:r w:rsidR="006863DD" w:rsidRPr="0075557E">
        <w:rPr>
          <w:rFonts w:ascii="Arial" w:hAnsi="Arial" w:cs="Arial"/>
          <w:sz w:val="18"/>
          <w:szCs w:val="18"/>
          <w:lang w:val="el-GR"/>
        </w:rPr>
        <w:t>€</w:t>
      </w:r>
      <w:bookmarkEnd w:id="5"/>
      <w:bookmarkEnd w:id="6"/>
      <w:r w:rsidR="003323D9" w:rsidRPr="0075557E">
        <w:rPr>
          <w:rFonts w:ascii="Arial" w:hAnsi="Arial" w:cs="Arial"/>
          <w:sz w:val="18"/>
          <w:szCs w:val="18"/>
          <w:lang w:val="el-GR"/>
        </w:rPr>
        <w:t>728</w:t>
      </w:r>
      <w:r w:rsidR="00742CB6" w:rsidRPr="0075557E">
        <w:rPr>
          <w:rFonts w:ascii="Arial" w:hAnsi="Arial" w:cs="Arial"/>
          <w:sz w:val="18"/>
          <w:szCs w:val="18"/>
          <w:lang w:val="el-GR"/>
        </w:rPr>
        <w:t xml:space="preserve"> </w:t>
      </w:r>
      <w:r w:rsidRPr="0075557E">
        <w:rPr>
          <w:rFonts w:ascii="Arial" w:hAnsi="Arial" w:cs="Arial"/>
          <w:sz w:val="18"/>
          <w:szCs w:val="18"/>
          <w:lang w:val="el-GR"/>
        </w:rPr>
        <w:t xml:space="preserve">εκ. έναντι </w:t>
      </w:r>
      <w:r w:rsidR="006863DD" w:rsidRPr="0075557E">
        <w:rPr>
          <w:rFonts w:ascii="Arial" w:hAnsi="Arial" w:cs="Arial"/>
          <w:sz w:val="18"/>
          <w:szCs w:val="18"/>
          <w:lang w:val="el-GR"/>
        </w:rPr>
        <w:t>€</w:t>
      </w:r>
      <w:r w:rsidR="003323D9" w:rsidRPr="0075557E">
        <w:rPr>
          <w:rFonts w:ascii="Arial" w:hAnsi="Arial" w:cs="Arial"/>
          <w:sz w:val="18"/>
          <w:szCs w:val="18"/>
          <w:lang w:val="el-GR"/>
        </w:rPr>
        <w:t>73</w:t>
      </w:r>
      <w:r w:rsidR="00290766" w:rsidRPr="0075557E">
        <w:rPr>
          <w:rFonts w:ascii="Arial" w:hAnsi="Arial" w:cs="Arial"/>
          <w:sz w:val="18"/>
          <w:szCs w:val="18"/>
          <w:lang w:val="el-GR"/>
        </w:rPr>
        <w:t xml:space="preserve">0 </w:t>
      </w:r>
      <w:r w:rsidRPr="0075557E">
        <w:rPr>
          <w:rFonts w:ascii="Arial" w:hAnsi="Arial" w:cs="Arial"/>
          <w:sz w:val="18"/>
          <w:szCs w:val="18"/>
          <w:lang w:val="el-GR"/>
        </w:rPr>
        <w:t xml:space="preserve">εκ. για το τρίτο τρίμηνο του </w:t>
      </w:r>
      <w:r w:rsidR="003323D9" w:rsidRPr="0075557E">
        <w:rPr>
          <w:rFonts w:ascii="Arial" w:hAnsi="Arial" w:cs="Arial"/>
          <w:sz w:val="18"/>
          <w:szCs w:val="18"/>
          <w:lang w:val="el-GR"/>
        </w:rPr>
        <w:t>2013</w:t>
      </w:r>
      <w:r w:rsidR="000B7124" w:rsidRPr="0075557E">
        <w:rPr>
          <w:rFonts w:ascii="Arial" w:hAnsi="Arial" w:cs="Arial"/>
          <w:sz w:val="18"/>
          <w:szCs w:val="18"/>
          <w:lang w:val="el-GR"/>
        </w:rPr>
        <w:t xml:space="preserve">. </w:t>
      </w:r>
      <w:r w:rsidRPr="0075557E">
        <w:rPr>
          <w:rFonts w:ascii="Arial" w:hAnsi="Arial" w:cs="Arial"/>
          <w:sz w:val="18"/>
          <w:szCs w:val="18"/>
          <w:lang w:val="el-GR"/>
        </w:rPr>
        <w:t xml:space="preserve">Τα έσοδα από υπηρεσίες κατέγραψαν αύξηση </w:t>
      </w:r>
      <w:r w:rsidR="00091371" w:rsidRPr="0075557E">
        <w:rPr>
          <w:rFonts w:ascii="Arial" w:hAnsi="Arial" w:cs="Arial"/>
          <w:sz w:val="18"/>
          <w:szCs w:val="18"/>
          <w:lang w:val="el-GR"/>
        </w:rPr>
        <w:t>3%</w:t>
      </w:r>
      <w:r w:rsidRPr="0075557E">
        <w:rPr>
          <w:rFonts w:ascii="Arial" w:hAnsi="Arial" w:cs="Arial"/>
          <w:sz w:val="18"/>
          <w:szCs w:val="18"/>
          <w:lang w:val="el-GR"/>
        </w:rPr>
        <w:t xml:space="preserve"> και διαμορφώθηκαν σ</w:t>
      </w:r>
      <w:r w:rsidR="00B41E45">
        <w:rPr>
          <w:rFonts w:ascii="Arial" w:hAnsi="Arial" w:cs="Arial"/>
          <w:sz w:val="18"/>
          <w:szCs w:val="18"/>
          <w:lang w:val="el-GR"/>
        </w:rPr>
        <w:t>τα</w:t>
      </w:r>
      <w:r w:rsidRPr="0075557E">
        <w:rPr>
          <w:rFonts w:ascii="Arial" w:hAnsi="Arial" w:cs="Arial"/>
          <w:sz w:val="18"/>
          <w:szCs w:val="18"/>
          <w:lang w:val="el-GR"/>
        </w:rPr>
        <w:t xml:space="preserve"> </w:t>
      </w:r>
      <w:r w:rsidR="00715D76" w:rsidRPr="0075557E">
        <w:rPr>
          <w:rFonts w:ascii="Arial" w:hAnsi="Arial" w:cs="Arial"/>
          <w:sz w:val="18"/>
          <w:szCs w:val="18"/>
          <w:lang w:val="el-GR"/>
        </w:rPr>
        <w:t xml:space="preserve">€680 </w:t>
      </w:r>
      <w:r w:rsidRPr="0075557E">
        <w:rPr>
          <w:rFonts w:ascii="Arial" w:hAnsi="Arial" w:cs="Arial"/>
          <w:sz w:val="18"/>
          <w:szCs w:val="18"/>
          <w:lang w:val="el-GR"/>
        </w:rPr>
        <w:t>εκ.</w:t>
      </w:r>
      <w:r w:rsidR="00091371" w:rsidRPr="0075557E">
        <w:rPr>
          <w:rFonts w:ascii="Arial" w:hAnsi="Arial" w:cs="Arial"/>
          <w:sz w:val="18"/>
          <w:szCs w:val="18"/>
          <w:lang w:val="el-GR"/>
        </w:rPr>
        <w:t>,</w:t>
      </w:r>
      <w:r w:rsidR="00C44971" w:rsidRPr="0075557E">
        <w:rPr>
          <w:rFonts w:ascii="Arial" w:hAnsi="Arial" w:cs="Arial"/>
          <w:sz w:val="18"/>
          <w:szCs w:val="18"/>
          <w:lang w:val="el-GR"/>
        </w:rPr>
        <w:t xml:space="preserve"> </w:t>
      </w:r>
      <w:r w:rsidRPr="0075557E">
        <w:rPr>
          <w:rFonts w:ascii="Arial" w:hAnsi="Arial" w:cs="Arial"/>
          <w:sz w:val="18"/>
          <w:szCs w:val="18"/>
          <w:lang w:val="el-GR"/>
        </w:rPr>
        <w:t xml:space="preserve">λόγω της μεγαλύτερης συμβολής του τομέα εργασιών της Ιταλίας, ενώ αντισταθμίστηκαν εν μέρει από τη μείωση των εσόδων που αφορούν </w:t>
      </w:r>
      <w:r w:rsidR="00B41E45">
        <w:rPr>
          <w:rFonts w:ascii="Arial" w:hAnsi="Arial" w:cs="Arial"/>
          <w:sz w:val="18"/>
          <w:szCs w:val="18"/>
          <w:lang w:val="el-GR"/>
        </w:rPr>
        <w:t>σ</w:t>
      </w:r>
      <w:r w:rsidRPr="0075557E">
        <w:rPr>
          <w:rFonts w:ascii="Arial" w:hAnsi="Arial" w:cs="Arial"/>
          <w:sz w:val="18"/>
          <w:szCs w:val="18"/>
          <w:lang w:val="el-GR"/>
        </w:rPr>
        <w:t xml:space="preserve">τις Υπηρεσίες Διαχείρισης Λοταρίας. Οι πωλήσεις προϊόντων κατά το τρίμηνο ανήλθαν σε €48 εκ. και επηρεάστηκαν αρνητικά από την αναμενόμενη υποχώρηση των πωλήσεων </w:t>
      </w:r>
      <w:r w:rsidR="00613C86" w:rsidRPr="0075557E">
        <w:rPr>
          <w:rFonts w:ascii="Arial" w:hAnsi="Arial" w:cs="Arial"/>
          <w:sz w:val="18"/>
          <w:szCs w:val="18"/>
          <w:lang w:val="el-GR"/>
        </w:rPr>
        <w:t>προϊόντων στο καναδικό σύστημα</w:t>
      </w:r>
      <w:r w:rsidRPr="0075557E">
        <w:rPr>
          <w:rFonts w:ascii="Arial" w:hAnsi="Arial" w:cs="Arial"/>
          <w:sz w:val="18"/>
          <w:szCs w:val="18"/>
          <w:lang w:val="el-GR"/>
        </w:rPr>
        <w:t>, η οποία αντισταθμίστηκε εν μέρει από τις πωλήσεις σε πελάτες με έδρα τις ΗΠΑ.</w:t>
      </w:r>
    </w:p>
    <w:p w:rsidR="00D50598" w:rsidRPr="0075557E" w:rsidRDefault="00D50598" w:rsidP="008363A4">
      <w:pPr>
        <w:autoSpaceDE w:val="0"/>
        <w:autoSpaceDN w:val="0"/>
        <w:adjustRightInd w:val="0"/>
        <w:jc w:val="both"/>
        <w:rPr>
          <w:rFonts w:ascii="Arial" w:hAnsi="Arial" w:cs="Arial"/>
          <w:sz w:val="18"/>
          <w:szCs w:val="18"/>
          <w:lang w:val="el-GR"/>
        </w:rPr>
      </w:pPr>
    </w:p>
    <w:p w:rsidR="00613C86" w:rsidRPr="0075557E" w:rsidRDefault="007A6A7D" w:rsidP="008363A4">
      <w:pPr>
        <w:autoSpaceDE w:val="0"/>
        <w:autoSpaceDN w:val="0"/>
        <w:adjustRightInd w:val="0"/>
        <w:jc w:val="both"/>
        <w:rPr>
          <w:rFonts w:ascii="Arial" w:hAnsi="Arial" w:cs="Arial"/>
          <w:sz w:val="18"/>
          <w:szCs w:val="18"/>
          <w:lang w:val="el-GR"/>
        </w:rPr>
      </w:pPr>
      <w:r w:rsidRPr="0075557E">
        <w:rPr>
          <w:rFonts w:ascii="Arial" w:hAnsi="Arial" w:cs="Arial"/>
          <w:sz w:val="18"/>
          <w:szCs w:val="18"/>
          <w:lang w:val="el-GR"/>
        </w:rPr>
        <w:t>Τα</w:t>
      </w:r>
      <w:r w:rsidRPr="0075557E">
        <w:rPr>
          <w:rFonts w:ascii="Arial" w:hAnsi="Arial" w:cs="Arial"/>
          <w:b/>
          <w:sz w:val="18"/>
          <w:szCs w:val="18"/>
          <w:lang w:val="el-GR"/>
        </w:rPr>
        <w:t xml:space="preserve"> λειτουργικά κέρδη προ φόρων, τόκων και αποσβέσεων (</w:t>
      </w:r>
      <w:r w:rsidR="00531058" w:rsidRPr="0075557E">
        <w:rPr>
          <w:rFonts w:ascii="Arial" w:hAnsi="Arial" w:cs="Arial"/>
          <w:b/>
          <w:sz w:val="18"/>
          <w:szCs w:val="18"/>
          <w:lang w:val="el-GR"/>
        </w:rPr>
        <w:t>EBITDA</w:t>
      </w:r>
      <w:r w:rsidRPr="0075557E">
        <w:rPr>
          <w:rFonts w:ascii="Arial" w:hAnsi="Arial" w:cs="Arial"/>
          <w:b/>
          <w:sz w:val="18"/>
          <w:szCs w:val="18"/>
          <w:lang w:val="el-GR"/>
        </w:rPr>
        <w:t xml:space="preserve">) </w:t>
      </w:r>
      <w:r w:rsidR="00B41E45">
        <w:rPr>
          <w:rFonts w:ascii="Arial" w:hAnsi="Arial" w:cs="Arial"/>
          <w:sz w:val="18"/>
          <w:szCs w:val="18"/>
          <w:lang w:val="el-GR"/>
        </w:rPr>
        <w:t>ανήλθαν σε</w:t>
      </w:r>
      <w:r w:rsidRPr="0075557E">
        <w:rPr>
          <w:rFonts w:ascii="Arial" w:hAnsi="Arial" w:cs="Arial"/>
          <w:sz w:val="18"/>
          <w:szCs w:val="18"/>
          <w:lang w:val="el-GR"/>
        </w:rPr>
        <w:t xml:space="preserve"> </w:t>
      </w:r>
      <w:r w:rsidR="008F4426" w:rsidRPr="0075557E">
        <w:rPr>
          <w:rFonts w:ascii="Arial" w:hAnsi="Arial" w:cs="Arial"/>
          <w:sz w:val="18"/>
          <w:szCs w:val="18"/>
          <w:lang w:val="el-GR"/>
        </w:rPr>
        <w:t xml:space="preserve">€252 </w:t>
      </w:r>
      <w:r w:rsidRPr="0075557E">
        <w:rPr>
          <w:rFonts w:ascii="Arial" w:hAnsi="Arial" w:cs="Arial"/>
          <w:sz w:val="18"/>
          <w:szCs w:val="18"/>
          <w:lang w:val="el-GR"/>
        </w:rPr>
        <w:t xml:space="preserve">εκ., σε σύγκριση με </w:t>
      </w:r>
      <w:r w:rsidR="00531058" w:rsidRPr="0075557E">
        <w:rPr>
          <w:rFonts w:ascii="Arial" w:hAnsi="Arial" w:cs="Arial"/>
          <w:sz w:val="18"/>
          <w:szCs w:val="18"/>
          <w:lang w:val="el-GR"/>
        </w:rPr>
        <w:t>€21</w:t>
      </w:r>
      <w:r w:rsidR="007B3475" w:rsidRPr="0075557E">
        <w:rPr>
          <w:rFonts w:ascii="Arial" w:hAnsi="Arial" w:cs="Arial"/>
          <w:sz w:val="18"/>
          <w:szCs w:val="18"/>
          <w:lang w:val="el-GR"/>
        </w:rPr>
        <w:t xml:space="preserve">9 </w:t>
      </w:r>
      <w:r w:rsidRPr="0075557E">
        <w:rPr>
          <w:rFonts w:ascii="Arial" w:hAnsi="Arial" w:cs="Arial"/>
          <w:sz w:val="18"/>
          <w:szCs w:val="18"/>
          <w:lang w:val="el-GR"/>
        </w:rPr>
        <w:t xml:space="preserve">εκ. για το τρίτο τρίμηνο του περασμένου έτους, </w:t>
      </w:r>
      <w:r w:rsidR="00613C86" w:rsidRPr="0075557E">
        <w:rPr>
          <w:rFonts w:ascii="Arial" w:hAnsi="Arial" w:cs="Arial"/>
          <w:sz w:val="18"/>
          <w:szCs w:val="18"/>
          <w:lang w:val="el-GR"/>
        </w:rPr>
        <w:t xml:space="preserve">στο οποίο περιλαμβανόταν πρόβλεψη </w:t>
      </w:r>
      <w:r w:rsidR="004B22BB" w:rsidRPr="0075557E">
        <w:rPr>
          <w:rFonts w:ascii="Arial" w:hAnsi="Arial" w:cs="Arial"/>
          <w:sz w:val="18"/>
          <w:szCs w:val="18"/>
          <w:lang w:val="el-GR"/>
        </w:rPr>
        <w:t>€</w:t>
      </w:r>
      <w:r w:rsidR="00531058" w:rsidRPr="0075557E">
        <w:rPr>
          <w:rFonts w:ascii="Arial" w:hAnsi="Arial" w:cs="Arial"/>
          <w:sz w:val="18"/>
          <w:szCs w:val="18"/>
          <w:lang w:val="el-GR"/>
        </w:rPr>
        <w:t>3</w:t>
      </w:r>
      <w:r w:rsidR="00D646A9" w:rsidRPr="0075557E">
        <w:rPr>
          <w:rFonts w:ascii="Arial" w:hAnsi="Arial" w:cs="Arial"/>
          <w:sz w:val="18"/>
          <w:szCs w:val="18"/>
          <w:lang w:val="el-GR"/>
        </w:rPr>
        <w:t xml:space="preserve">0 </w:t>
      </w:r>
      <w:r w:rsidR="00613C86" w:rsidRPr="0075557E">
        <w:rPr>
          <w:rFonts w:ascii="Arial" w:hAnsi="Arial" w:cs="Arial"/>
          <w:sz w:val="18"/>
          <w:szCs w:val="18"/>
          <w:lang w:val="el-GR"/>
        </w:rPr>
        <w:t xml:space="preserve">εκ. για τη διευθέτηση της δικαστικής προσφυγής για </w:t>
      </w:r>
      <w:r w:rsidR="004B478E" w:rsidRPr="0075557E">
        <w:rPr>
          <w:rFonts w:ascii="Arial" w:hAnsi="Arial" w:cs="Arial"/>
          <w:sz w:val="18"/>
          <w:szCs w:val="18"/>
          <w:lang w:val="el-GR"/>
        </w:rPr>
        <w:t xml:space="preserve">τις παιγνιομηχανές </w:t>
      </w:r>
      <w:r w:rsidR="00613C86" w:rsidRPr="0075557E">
        <w:rPr>
          <w:rFonts w:ascii="Arial" w:hAnsi="Arial" w:cs="Arial"/>
          <w:sz w:val="18"/>
          <w:szCs w:val="18"/>
          <w:lang w:val="el-GR"/>
        </w:rPr>
        <w:t>στην Ιταλία.</w:t>
      </w:r>
    </w:p>
    <w:p w:rsidR="008F4426" w:rsidRPr="0075557E" w:rsidRDefault="008F4426" w:rsidP="008B4327">
      <w:pPr>
        <w:autoSpaceDE w:val="0"/>
        <w:autoSpaceDN w:val="0"/>
        <w:adjustRightInd w:val="0"/>
        <w:jc w:val="both"/>
        <w:rPr>
          <w:rFonts w:ascii="Arial" w:hAnsi="Arial" w:cs="Arial"/>
          <w:sz w:val="18"/>
          <w:szCs w:val="18"/>
          <w:lang w:val="el-GR"/>
        </w:rPr>
      </w:pPr>
    </w:p>
    <w:p w:rsidR="008B4327" w:rsidRPr="0075557E" w:rsidRDefault="007A6A7D" w:rsidP="008B4327">
      <w:pPr>
        <w:autoSpaceDE w:val="0"/>
        <w:autoSpaceDN w:val="0"/>
        <w:adjustRightInd w:val="0"/>
        <w:jc w:val="both"/>
        <w:rPr>
          <w:rFonts w:ascii="Arial" w:hAnsi="Arial" w:cs="Arial"/>
          <w:sz w:val="18"/>
          <w:szCs w:val="18"/>
          <w:lang w:val="el-GR"/>
        </w:rPr>
      </w:pPr>
      <w:r w:rsidRPr="0075557E">
        <w:rPr>
          <w:rFonts w:ascii="Arial" w:hAnsi="Arial" w:cs="Arial"/>
          <w:b/>
          <w:sz w:val="18"/>
          <w:szCs w:val="18"/>
          <w:lang w:val="el-GR"/>
        </w:rPr>
        <w:t>Τα λειτουργικά έσοδα (</w:t>
      </w:r>
      <w:r w:rsidR="0075636B">
        <w:rPr>
          <w:rFonts w:ascii="Arial" w:hAnsi="Arial" w:cs="Arial"/>
          <w:b/>
          <w:sz w:val="18"/>
          <w:szCs w:val="18"/>
          <w:lang w:val="el-GR"/>
        </w:rPr>
        <w:t>Operating Income</w:t>
      </w:r>
      <w:r w:rsidRPr="0075557E">
        <w:rPr>
          <w:rFonts w:ascii="Arial" w:hAnsi="Arial" w:cs="Arial"/>
          <w:b/>
          <w:sz w:val="18"/>
          <w:szCs w:val="18"/>
          <w:lang w:val="el-GR"/>
        </w:rPr>
        <w:t xml:space="preserve">) </w:t>
      </w:r>
      <w:r w:rsidRPr="0075557E">
        <w:rPr>
          <w:rFonts w:ascii="Arial" w:hAnsi="Arial" w:cs="Arial"/>
          <w:sz w:val="18"/>
          <w:szCs w:val="18"/>
          <w:lang w:val="el-GR"/>
        </w:rPr>
        <w:t xml:space="preserve">ανήλθαν σε </w:t>
      </w:r>
      <w:r w:rsidR="008F4426" w:rsidRPr="0075557E">
        <w:rPr>
          <w:rFonts w:ascii="Arial" w:hAnsi="Arial" w:cs="Arial"/>
          <w:sz w:val="18"/>
          <w:szCs w:val="18"/>
          <w:lang w:val="el-GR"/>
        </w:rPr>
        <w:t>€133</w:t>
      </w:r>
      <w:r w:rsidR="004B22BB" w:rsidRPr="0075557E">
        <w:rPr>
          <w:rFonts w:ascii="Arial" w:hAnsi="Arial" w:cs="Arial"/>
          <w:sz w:val="18"/>
          <w:szCs w:val="18"/>
          <w:lang w:val="el-GR"/>
        </w:rPr>
        <w:t xml:space="preserve"> </w:t>
      </w:r>
      <w:r w:rsidRPr="0075557E">
        <w:rPr>
          <w:rFonts w:ascii="Arial" w:hAnsi="Arial" w:cs="Arial"/>
          <w:sz w:val="18"/>
          <w:szCs w:val="18"/>
          <w:lang w:val="el-GR"/>
        </w:rPr>
        <w:t>ε</w:t>
      </w:r>
      <w:r w:rsidR="00185B0E">
        <w:rPr>
          <w:rFonts w:ascii="Arial" w:hAnsi="Arial" w:cs="Arial"/>
          <w:sz w:val="18"/>
          <w:szCs w:val="18"/>
          <w:lang w:val="el-GR"/>
        </w:rPr>
        <w:t>κ</w:t>
      </w:r>
      <w:r w:rsidRPr="0075557E">
        <w:rPr>
          <w:rFonts w:ascii="Arial" w:hAnsi="Arial" w:cs="Arial"/>
          <w:sz w:val="18"/>
          <w:szCs w:val="18"/>
          <w:lang w:val="el-GR"/>
        </w:rPr>
        <w:t xml:space="preserve">. έναντι </w:t>
      </w:r>
      <w:r w:rsidR="00742CB6" w:rsidRPr="0075557E">
        <w:rPr>
          <w:rFonts w:ascii="Arial" w:hAnsi="Arial" w:cs="Arial"/>
          <w:sz w:val="18"/>
          <w:szCs w:val="18"/>
          <w:lang w:val="el-GR"/>
        </w:rPr>
        <w:t>€</w:t>
      </w:r>
      <w:r w:rsidR="008F4426" w:rsidRPr="0075557E">
        <w:rPr>
          <w:rFonts w:ascii="Arial" w:hAnsi="Arial" w:cs="Arial"/>
          <w:sz w:val="18"/>
          <w:szCs w:val="18"/>
          <w:lang w:val="el-GR"/>
        </w:rPr>
        <w:t xml:space="preserve">102 </w:t>
      </w:r>
      <w:r w:rsidRPr="0075557E">
        <w:rPr>
          <w:rFonts w:ascii="Arial" w:hAnsi="Arial" w:cs="Arial"/>
          <w:sz w:val="18"/>
          <w:szCs w:val="18"/>
          <w:lang w:val="el-GR"/>
        </w:rPr>
        <w:t xml:space="preserve">εκ. το προηγούμενο έτος. </w:t>
      </w:r>
      <w:r w:rsidR="00613C86" w:rsidRPr="0075557E">
        <w:rPr>
          <w:rFonts w:ascii="Arial" w:hAnsi="Arial" w:cs="Arial"/>
          <w:sz w:val="18"/>
          <w:szCs w:val="18"/>
          <w:lang w:val="el-GR"/>
        </w:rPr>
        <w:t xml:space="preserve">Οι δαπάνες συναλλαγών ύψους </w:t>
      </w:r>
      <w:r w:rsidR="00C44971" w:rsidRPr="0075557E">
        <w:rPr>
          <w:rFonts w:ascii="Arial" w:hAnsi="Arial" w:cs="Arial"/>
          <w:sz w:val="18"/>
          <w:szCs w:val="18"/>
          <w:lang w:val="el-GR"/>
        </w:rPr>
        <w:t xml:space="preserve">€10 </w:t>
      </w:r>
      <w:r w:rsidR="00613C86" w:rsidRPr="0075557E">
        <w:rPr>
          <w:rFonts w:ascii="Arial" w:hAnsi="Arial" w:cs="Arial"/>
          <w:sz w:val="18"/>
          <w:szCs w:val="18"/>
          <w:lang w:val="el-GR"/>
        </w:rPr>
        <w:t>εκ.</w:t>
      </w:r>
      <w:r w:rsidR="0075636B">
        <w:rPr>
          <w:rFonts w:ascii="Arial" w:hAnsi="Arial" w:cs="Arial"/>
          <w:sz w:val="18"/>
          <w:szCs w:val="18"/>
          <w:lang w:val="el-GR"/>
        </w:rPr>
        <w:t xml:space="preserve"> </w:t>
      </w:r>
      <w:r w:rsidR="0075636B" w:rsidRPr="00185B0E">
        <w:rPr>
          <w:rFonts w:ascii="Arial" w:hAnsi="Arial" w:cs="Arial"/>
          <w:sz w:val="18"/>
          <w:szCs w:val="18"/>
          <w:lang w:val="el-GR"/>
        </w:rPr>
        <w:t>πραγματοποιήθηκαν κατά τη διάρκεια του τριμήνου</w:t>
      </w:r>
      <w:r w:rsidR="00613C86" w:rsidRPr="0075557E">
        <w:rPr>
          <w:rFonts w:ascii="Arial" w:hAnsi="Arial" w:cs="Arial"/>
          <w:sz w:val="18"/>
          <w:szCs w:val="18"/>
          <w:lang w:val="el-GR"/>
        </w:rPr>
        <w:t xml:space="preserve">, </w:t>
      </w:r>
      <w:r w:rsidR="0075636B">
        <w:rPr>
          <w:rFonts w:ascii="Arial" w:hAnsi="Arial" w:cs="Arial"/>
          <w:sz w:val="18"/>
          <w:szCs w:val="18"/>
          <w:lang w:val="el-GR"/>
        </w:rPr>
        <w:t xml:space="preserve">και </w:t>
      </w:r>
      <w:r w:rsidR="00613C86" w:rsidRPr="0075557E">
        <w:rPr>
          <w:rFonts w:ascii="Arial" w:hAnsi="Arial" w:cs="Arial"/>
          <w:sz w:val="18"/>
          <w:szCs w:val="18"/>
          <w:lang w:val="el-GR"/>
        </w:rPr>
        <w:t xml:space="preserve">οι οποίες συνδέονται </w:t>
      </w:r>
      <w:r w:rsidR="00613C86" w:rsidRPr="00185B0E">
        <w:rPr>
          <w:rFonts w:ascii="Arial" w:hAnsi="Arial" w:cs="Arial"/>
          <w:sz w:val="18"/>
          <w:szCs w:val="18"/>
          <w:lang w:val="el-GR"/>
        </w:rPr>
        <w:t xml:space="preserve">με την </w:t>
      </w:r>
      <w:r w:rsidR="0075636B">
        <w:rPr>
          <w:rFonts w:ascii="Arial" w:hAnsi="Arial" w:cs="Arial"/>
          <w:sz w:val="18"/>
          <w:szCs w:val="18"/>
          <w:lang w:val="el-GR"/>
        </w:rPr>
        <w:t xml:space="preserve">εν εξελίξει </w:t>
      </w:r>
      <w:r w:rsidR="00613C86" w:rsidRPr="00185B0E">
        <w:rPr>
          <w:rFonts w:ascii="Arial" w:hAnsi="Arial" w:cs="Arial"/>
          <w:sz w:val="18"/>
          <w:szCs w:val="18"/>
          <w:lang w:val="el-GR"/>
        </w:rPr>
        <w:t xml:space="preserve">εξαγορά της IGT οι οποίες, υπεραντισταθμίστηκαν από </w:t>
      </w:r>
      <w:r w:rsidR="00185B0E" w:rsidRPr="00185B0E">
        <w:rPr>
          <w:rFonts w:ascii="Arial" w:hAnsi="Arial" w:cs="Arial"/>
          <w:sz w:val="18"/>
          <w:szCs w:val="18"/>
          <w:lang w:val="el-GR"/>
        </w:rPr>
        <w:t xml:space="preserve">τα κέρδη πωλήσεων από την </w:t>
      </w:r>
      <w:r w:rsidR="0075636B">
        <w:rPr>
          <w:rFonts w:ascii="Arial" w:hAnsi="Arial" w:cs="Arial"/>
          <w:sz w:val="18"/>
          <w:szCs w:val="18"/>
          <w:lang w:val="el-GR"/>
        </w:rPr>
        <w:t xml:space="preserve">πώληση της επιχειρηματικής δραστηριότητας στην Ιταλία που αφορά στην </w:t>
      </w:r>
      <w:r w:rsidR="00185B0E" w:rsidRPr="00185B0E">
        <w:rPr>
          <w:rFonts w:ascii="Arial" w:hAnsi="Arial" w:cs="Arial"/>
          <w:sz w:val="18"/>
          <w:szCs w:val="18"/>
          <w:lang w:val="el-GR"/>
        </w:rPr>
        <w:t xml:space="preserve">έκδοση εισιτηρίων </w:t>
      </w:r>
      <w:r w:rsidR="0075636B">
        <w:rPr>
          <w:rFonts w:ascii="Arial" w:hAnsi="Arial" w:cs="Arial"/>
          <w:sz w:val="18"/>
          <w:szCs w:val="18"/>
          <w:lang w:val="el-GR"/>
        </w:rPr>
        <w:t xml:space="preserve">για εκδηλώσεις και </w:t>
      </w:r>
      <w:r w:rsidR="00185B0E" w:rsidRPr="00185B0E">
        <w:rPr>
          <w:rFonts w:ascii="Arial" w:hAnsi="Arial" w:cs="Arial"/>
          <w:sz w:val="18"/>
          <w:szCs w:val="18"/>
          <w:lang w:val="el-GR"/>
        </w:rPr>
        <w:t>αθλητικ</w:t>
      </w:r>
      <w:r w:rsidR="0075636B">
        <w:rPr>
          <w:rFonts w:ascii="Arial" w:hAnsi="Arial" w:cs="Arial"/>
          <w:sz w:val="18"/>
          <w:szCs w:val="18"/>
          <w:lang w:val="el-GR"/>
        </w:rPr>
        <w:t>ές</w:t>
      </w:r>
      <w:r w:rsidR="00185B0E" w:rsidRPr="00185B0E">
        <w:rPr>
          <w:rFonts w:ascii="Arial" w:hAnsi="Arial" w:cs="Arial"/>
          <w:sz w:val="18"/>
          <w:szCs w:val="18"/>
          <w:lang w:val="el-GR"/>
        </w:rPr>
        <w:t xml:space="preserve"> διοργανώσε</w:t>
      </w:r>
      <w:r w:rsidR="0075636B">
        <w:rPr>
          <w:rFonts w:ascii="Arial" w:hAnsi="Arial" w:cs="Arial"/>
          <w:sz w:val="18"/>
          <w:szCs w:val="18"/>
          <w:lang w:val="el-GR"/>
        </w:rPr>
        <w:t>ις</w:t>
      </w:r>
      <w:r w:rsidR="00C44971" w:rsidRPr="00185B0E">
        <w:rPr>
          <w:rFonts w:ascii="Arial" w:hAnsi="Arial" w:cs="Arial"/>
          <w:sz w:val="18"/>
          <w:szCs w:val="18"/>
          <w:lang w:val="el-GR"/>
        </w:rPr>
        <w:t>.</w:t>
      </w:r>
    </w:p>
    <w:p w:rsidR="00DF6E8F" w:rsidRPr="0075557E" w:rsidRDefault="00DF6E8F" w:rsidP="008B4327">
      <w:pPr>
        <w:autoSpaceDE w:val="0"/>
        <w:autoSpaceDN w:val="0"/>
        <w:adjustRightInd w:val="0"/>
        <w:jc w:val="both"/>
        <w:rPr>
          <w:rFonts w:ascii="Arial" w:hAnsi="Arial" w:cs="Arial"/>
          <w:sz w:val="18"/>
          <w:szCs w:val="18"/>
          <w:lang w:val="el-GR"/>
        </w:rPr>
      </w:pPr>
    </w:p>
    <w:p w:rsidR="00DF6E8F" w:rsidRPr="0075557E" w:rsidRDefault="0075557E" w:rsidP="008B4327">
      <w:pPr>
        <w:autoSpaceDE w:val="0"/>
        <w:autoSpaceDN w:val="0"/>
        <w:adjustRightInd w:val="0"/>
        <w:jc w:val="both"/>
        <w:rPr>
          <w:rFonts w:ascii="Arial" w:hAnsi="Arial" w:cs="Arial"/>
          <w:sz w:val="18"/>
          <w:szCs w:val="18"/>
          <w:lang w:val="el-GR"/>
        </w:rPr>
      </w:pPr>
      <w:r w:rsidRPr="0075557E">
        <w:rPr>
          <w:rFonts w:ascii="Arial" w:hAnsi="Arial" w:cs="Arial"/>
          <w:sz w:val="18"/>
          <w:szCs w:val="18"/>
          <w:lang w:val="el-GR"/>
        </w:rPr>
        <w:t>Τα</w:t>
      </w:r>
      <w:r>
        <w:rPr>
          <w:rFonts w:ascii="Arial" w:hAnsi="Arial" w:cs="Arial"/>
          <w:b/>
          <w:sz w:val="18"/>
          <w:szCs w:val="18"/>
          <w:lang w:val="el-GR"/>
        </w:rPr>
        <w:t xml:space="preserve"> έξοδα τόκων </w:t>
      </w:r>
      <w:r w:rsidR="00613C86" w:rsidRPr="0075557E">
        <w:rPr>
          <w:rFonts w:ascii="Arial" w:hAnsi="Arial" w:cs="Arial"/>
          <w:sz w:val="18"/>
          <w:szCs w:val="18"/>
          <w:lang w:val="el-GR"/>
        </w:rPr>
        <w:t xml:space="preserve">κινήθηκαν στα επίπεδα του προηγούμενου έτους και διαμορφώθηκαν σε </w:t>
      </w:r>
      <w:r w:rsidR="00154789" w:rsidRPr="0075557E">
        <w:rPr>
          <w:rFonts w:ascii="Arial" w:hAnsi="Arial" w:cs="Arial"/>
          <w:sz w:val="18"/>
          <w:szCs w:val="18"/>
          <w:lang w:val="el-GR"/>
        </w:rPr>
        <w:t>€</w:t>
      </w:r>
      <w:r w:rsidR="00F754CF" w:rsidRPr="0075557E">
        <w:rPr>
          <w:rFonts w:ascii="Arial" w:hAnsi="Arial" w:cs="Arial"/>
          <w:sz w:val="18"/>
          <w:szCs w:val="18"/>
          <w:lang w:val="el-GR"/>
        </w:rPr>
        <w:t>41</w:t>
      </w:r>
      <w:r w:rsidR="00DF6E8F" w:rsidRPr="0075557E">
        <w:rPr>
          <w:rFonts w:ascii="Arial" w:hAnsi="Arial" w:cs="Arial"/>
          <w:sz w:val="18"/>
          <w:szCs w:val="18"/>
          <w:lang w:val="el-GR"/>
        </w:rPr>
        <w:t xml:space="preserve"> </w:t>
      </w:r>
      <w:r w:rsidR="00613C86" w:rsidRPr="0075557E">
        <w:rPr>
          <w:rFonts w:ascii="Arial" w:hAnsi="Arial" w:cs="Arial"/>
          <w:sz w:val="18"/>
          <w:szCs w:val="18"/>
          <w:lang w:val="el-GR"/>
        </w:rPr>
        <w:t>εκ.</w:t>
      </w:r>
      <w:r w:rsidR="00C44971" w:rsidRPr="0075557E">
        <w:rPr>
          <w:rFonts w:ascii="Arial" w:hAnsi="Arial" w:cs="Arial"/>
          <w:sz w:val="18"/>
          <w:szCs w:val="18"/>
          <w:lang w:val="el-GR"/>
        </w:rPr>
        <w:t xml:space="preserve">, </w:t>
      </w:r>
      <w:r w:rsidR="00F80E48" w:rsidRPr="0075557E">
        <w:rPr>
          <w:rFonts w:ascii="Arial" w:hAnsi="Arial" w:cs="Arial"/>
          <w:sz w:val="18"/>
          <w:szCs w:val="18"/>
          <w:lang w:val="el-GR"/>
        </w:rPr>
        <w:t xml:space="preserve">εξαιρουμένης της δαπάνης των </w:t>
      </w:r>
      <w:r w:rsidR="00F754CF" w:rsidRPr="0075557E">
        <w:rPr>
          <w:rFonts w:ascii="Arial" w:hAnsi="Arial" w:cs="Arial"/>
          <w:sz w:val="18"/>
          <w:szCs w:val="18"/>
          <w:lang w:val="el-GR"/>
        </w:rPr>
        <w:t xml:space="preserve">€17 </w:t>
      </w:r>
      <w:r w:rsidR="00F80E48" w:rsidRPr="0075557E">
        <w:rPr>
          <w:rFonts w:ascii="Arial" w:hAnsi="Arial" w:cs="Arial"/>
          <w:sz w:val="18"/>
          <w:szCs w:val="18"/>
          <w:lang w:val="el-GR"/>
        </w:rPr>
        <w:t xml:space="preserve">εκ. που </w:t>
      </w:r>
      <w:r w:rsidR="00F80E48" w:rsidRPr="001253AC">
        <w:rPr>
          <w:rFonts w:ascii="Arial" w:hAnsi="Arial" w:cs="Arial"/>
          <w:sz w:val="18"/>
          <w:szCs w:val="18"/>
          <w:lang w:val="el-GR"/>
        </w:rPr>
        <w:t>πραγματοποιήθηκε κατά τη διάρκεια του τριμήνου και αφορούσε τη Συμφωνία Μεταβατικής Χρηματοδοτικής Διευκόλυνσης (</w:t>
      </w:r>
      <w:r w:rsidR="00F754CF" w:rsidRPr="001253AC">
        <w:rPr>
          <w:rFonts w:ascii="Arial" w:hAnsi="Arial" w:cs="Arial"/>
          <w:sz w:val="18"/>
          <w:szCs w:val="18"/>
          <w:lang w:val="el-GR"/>
        </w:rPr>
        <w:t xml:space="preserve">Bridge </w:t>
      </w:r>
      <w:r w:rsidR="002C5950" w:rsidRPr="001253AC">
        <w:rPr>
          <w:rFonts w:ascii="Arial" w:hAnsi="Arial" w:cs="Arial"/>
          <w:sz w:val="18"/>
          <w:szCs w:val="18"/>
          <w:lang w:val="el-GR"/>
        </w:rPr>
        <w:t>Facilit</w:t>
      </w:r>
      <w:r w:rsidR="00325ADF" w:rsidRPr="001253AC">
        <w:rPr>
          <w:rFonts w:ascii="Arial" w:hAnsi="Arial" w:cs="Arial"/>
          <w:sz w:val="18"/>
          <w:szCs w:val="18"/>
          <w:lang w:val="el-GR"/>
        </w:rPr>
        <w:t>y</w:t>
      </w:r>
      <w:r w:rsidR="00F80E48" w:rsidRPr="001253AC">
        <w:rPr>
          <w:rFonts w:ascii="Arial" w:hAnsi="Arial" w:cs="Arial"/>
          <w:sz w:val="18"/>
          <w:szCs w:val="18"/>
          <w:lang w:val="el-GR"/>
        </w:rPr>
        <w:t>), η οποία υπογράφηκε</w:t>
      </w:r>
      <w:r w:rsidR="00F80E48" w:rsidRPr="0075557E">
        <w:rPr>
          <w:rFonts w:ascii="Arial" w:hAnsi="Arial" w:cs="Arial"/>
          <w:sz w:val="18"/>
          <w:szCs w:val="18"/>
          <w:lang w:val="el-GR"/>
        </w:rPr>
        <w:t xml:space="preserve"> </w:t>
      </w:r>
      <w:r w:rsidR="00185B0E">
        <w:rPr>
          <w:rFonts w:ascii="Arial" w:hAnsi="Arial" w:cs="Arial"/>
          <w:sz w:val="18"/>
          <w:szCs w:val="18"/>
          <w:lang w:val="el-GR"/>
        </w:rPr>
        <w:t xml:space="preserve">εν </w:t>
      </w:r>
      <w:r w:rsidR="00F80E48" w:rsidRPr="0075557E">
        <w:rPr>
          <w:rFonts w:ascii="Arial" w:hAnsi="Arial" w:cs="Arial"/>
          <w:sz w:val="18"/>
          <w:szCs w:val="18"/>
          <w:lang w:val="el-GR"/>
        </w:rPr>
        <w:t xml:space="preserve">αναμονή της εξαγοράς της </w:t>
      </w:r>
      <w:r w:rsidR="00F754CF" w:rsidRPr="0075557E">
        <w:rPr>
          <w:rFonts w:ascii="Arial" w:hAnsi="Arial" w:cs="Arial"/>
          <w:sz w:val="18"/>
          <w:szCs w:val="18"/>
          <w:lang w:val="el-GR"/>
        </w:rPr>
        <w:t>IGT.</w:t>
      </w:r>
    </w:p>
    <w:p w:rsidR="008B4327" w:rsidRPr="0075557E" w:rsidRDefault="008B4327" w:rsidP="006863DD">
      <w:pPr>
        <w:jc w:val="both"/>
        <w:rPr>
          <w:rFonts w:ascii="Arial" w:hAnsi="Arial" w:cs="Arial"/>
          <w:sz w:val="18"/>
          <w:szCs w:val="18"/>
          <w:lang w:val="el-GR"/>
        </w:rPr>
      </w:pPr>
    </w:p>
    <w:p w:rsidR="007A6A7D" w:rsidRPr="0075557E" w:rsidRDefault="007A6A7D" w:rsidP="006863DD">
      <w:pPr>
        <w:pStyle w:val="style1"/>
        <w:tabs>
          <w:tab w:val="left" w:pos="73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w:t>
      </w:r>
      <w:r w:rsidRPr="0075557E">
        <w:rPr>
          <w:rFonts w:ascii="Arial" w:hAnsi="Arial" w:cs="Arial"/>
          <w:b/>
          <w:sz w:val="18"/>
          <w:szCs w:val="18"/>
          <w:lang w:val="el-GR"/>
        </w:rPr>
        <w:t>καθαρά έσοδα (κέρδη) που αποδίδονται στους μετόχους</w:t>
      </w:r>
      <w:r w:rsidRPr="0075557E">
        <w:rPr>
          <w:rFonts w:ascii="Arial" w:hAnsi="Arial" w:cs="Arial"/>
          <w:sz w:val="18"/>
          <w:szCs w:val="18"/>
          <w:lang w:val="el-GR"/>
        </w:rPr>
        <w:t xml:space="preserve"> διαμορφώθηκαν </w:t>
      </w:r>
      <w:r w:rsidR="008826CE">
        <w:rPr>
          <w:rFonts w:ascii="Arial" w:hAnsi="Arial" w:cs="Arial"/>
          <w:sz w:val="18"/>
          <w:szCs w:val="18"/>
          <w:lang w:val="el-GR"/>
        </w:rPr>
        <w:t xml:space="preserve">αυξημένα </w:t>
      </w:r>
      <w:r w:rsidRPr="0075557E">
        <w:rPr>
          <w:rFonts w:ascii="Arial" w:hAnsi="Arial" w:cs="Arial"/>
          <w:sz w:val="18"/>
          <w:szCs w:val="18"/>
          <w:lang w:val="el-GR"/>
        </w:rPr>
        <w:t xml:space="preserve">σε €40 εκ. έναντι €32 εκ. για </w:t>
      </w:r>
      <w:r w:rsidR="00663C0D" w:rsidRPr="0075557E">
        <w:rPr>
          <w:rFonts w:ascii="Arial" w:hAnsi="Arial" w:cs="Arial"/>
          <w:sz w:val="18"/>
          <w:szCs w:val="18"/>
          <w:lang w:val="el-GR"/>
        </w:rPr>
        <w:t xml:space="preserve">το </w:t>
      </w:r>
      <w:r w:rsidRPr="0075557E">
        <w:rPr>
          <w:rFonts w:ascii="Arial" w:hAnsi="Arial" w:cs="Arial"/>
          <w:sz w:val="18"/>
          <w:szCs w:val="18"/>
          <w:lang w:val="el-GR"/>
        </w:rPr>
        <w:t>τρίτο τρίμηνο του 2013.</w:t>
      </w:r>
    </w:p>
    <w:p w:rsidR="00CE5779" w:rsidRPr="0075557E" w:rsidRDefault="00CE5779" w:rsidP="006863DD">
      <w:pPr>
        <w:pStyle w:val="style1"/>
        <w:tabs>
          <w:tab w:val="left" w:pos="7380"/>
        </w:tabs>
        <w:spacing w:before="0" w:beforeAutospacing="0" w:after="0" w:afterAutospacing="0"/>
        <w:jc w:val="both"/>
        <w:rPr>
          <w:rFonts w:ascii="Arial" w:hAnsi="Arial" w:cs="Arial"/>
          <w:b/>
          <w:sz w:val="18"/>
          <w:szCs w:val="18"/>
          <w:lang w:val="el-GR"/>
        </w:rPr>
      </w:pPr>
    </w:p>
    <w:p w:rsidR="00663C0D" w:rsidRPr="0075557E" w:rsidRDefault="007A6A7D" w:rsidP="006863DD">
      <w:pPr>
        <w:pStyle w:val="style1"/>
        <w:tabs>
          <w:tab w:val="left" w:pos="7380"/>
        </w:tabs>
        <w:spacing w:before="0" w:beforeAutospacing="0" w:after="0" w:afterAutospacing="0"/>
        <w:jc w:val="both"/>
        <w:rPr>
          <w:rFonts w:ascii="Arial" w:hAnsi="Arial" w:cs="Arial"/>
          <w:sz w:val="18"/>
          <w:szCs w:val="18"/>
          <w:lang w:val="el-GR"/>
        </w:rPr>
      </w:pPr>
      <w:bookmarkStart w:id="7" w:name="OLE_LINK29"/>
      <w:bookmarkStart w:id="8" w:name="OLE_LINK30"/>
      <w:r w:rsidRPr="0075557E">
        <w:rPr>
          <w:rFonts w:ascii="Arial" w:hAnsi="Arial" w:cs="Arial"/>
          <w:b/>
          <w:sz w:val="18"/>
          <w:szCs w:val="18"/>
          <w:lang w:val="el-GR"/>
        </w:rPr>
        <w:t xml:space="preserve">Τα προσαρμοσμένα κέρδη ανά μετοχή (EPS) </w:t>
      </w:r>
      <w:r w:rsidR="00646E43">
        <w:rPr>
          <w:rFonts w:ascii="Arial" w:hAnsi="Arial" w:cs="Arial"/>
          <w:sz w:val="18"/>
          <w:szCs w:val="18"/>
          <w:lang w:val="el-GR"/>
        </w:rPr>
        <w:t xml:space="preserve">ανήλθαν </w:t>
      </w:r>
      <w:r w:rsidR="008826CE">
        <w:rPr>
          <w:rFonts w:ascii="Arial" w:hAnsi="Arial" w:cs="Arial"/>
          <w:sz w:val="18"/>
          <w:szCs w:val="18"/>
          <w:lang w:val="el-GR"/>
        </w:rPr>
        <w:t xml:space="preserve">αυξημένα </w:t>
      </w:r>
      <w:r w:rsidR="00646E43">
        <w:rPr>
          <w:rFonts w:ascii="Arial" w:hAnsi="Arial" w:cs="Arial"/>
          <w:sz w:val="18"/>
          <w:szCs w:val="18"/>
          <w:lang w:val="el-GR"/>
        </w:rPr>
        <w:t>σε</w:t>
      </w:r>
      <w:r w:rsidRPr="0075557E">
        <w:rPr>
          <w:rFonts w:ascii="Arial" w:hAnsi="Arial" w:cs="Arial"/>
          <w:sz w:val="18"/>
          <w:szCs w:val="18"/>
          <w:lang w:val="el-GR"/>
        </w:rPr>
        <w:t xml:space="preserve"> €0,23 έναντι €0,18 για το </w:t>
      </w:r>
      <w:r w:rsidR="00663C0D" w:rsidRPr="0075557E">
        <w:rPr>
          <w:rFonts w:ascii="Arial" w:hAnsi="Arial" w:cs="Arial"/>
          <w:sz w:val="18"/>
          <w:szCs w:val="18"/>
          <w:lang w:val="el-GR"/>
        </w:rPr>
        <w:t>ίδιο τρίμηνο του προηγούμενου έτους.</w:t>
      </w:r>
    </w:p>
    <w:p w:rsidR="0075669B" w:rsidRPr="0075557E" w:rsidRDefault="0075669B" w:rsidP="006863DD">
      <w:pPr>
        <w:pStyle w:val="style1"/>
        <w:tabs>
          <w:tab w:val="left" w:pos="7380"/>
        </w:tabs>
        <w:spacing w:before="0" w:beforeAutospacing="0" w:after="0" w:afterAutospacing="0"/>
        <w:jc w:val="both"/>
        <w:rPr>
          <w:rFonts w:ascii="Arial" w:hAnsi="Arial" w:cs="Arial"/>
          <w:sz w:val="18"/>
          <w:szCs w:val="18"/>
          <w:lang w:val="el-GR"/>
        </w:rPr>
      </w:pPr>
    </w:p>
    <w:p w:rsidR="00913D10" w:rsidRPr="0075557E" w:rsidRDefault="00663C0D" w:rsidP="00913D10">
      <w:pPr>
        <w:pStyle w:val="style1"/>
        <w:spacing w:before="0" w:beforeAutospacing="0" w:after="0" w:afterAutospacing="0"/>
        <w:jc w:val="both"/>
        <w:rPr>
          <w:rFonts w:ascii="Arial" w:hAnsi="Arial" w:cs="Arial"/>
          <w:sz w:val="18"/>
          <w:szCs w:val="18"/>
          <w:lang w:val="el-GR"/>
        </w:rPr>
      </w:pPr>
      <w:r w:rsidRPr="0075557E">
        <w:rPr>
          <w:rFonts w:ascii="Arial" w:hAnsi="Arial" w:cs="Arial"/>
          <w:bCs/>
          <w:sz w:val="18"/>
          <w:szCs w:val="18"/>
          <w:lang w:val="el-GR"/>
        </w:rPr>
        <w:t>Οι</w:t>
      </w:r>
      <w:r w:rsidRPr="0075557E">
        <w:rPr>
          <w:rFonts w:ascii="Arial" w:hAnsi="Arial" w:cs="Arial"/>
          <w:b/>
          <w:bCs/>
          <w:sz w:val="18"/>
          <w:szCs w:val="18"/>
          <w:lang w:val="el-GR"/>
        </w:rPr>
        <w:t xml:space="preserve"> κεφαλαιακές δαπάνες </w:t>
      </w:r>
      <w:r w:rsidRPr="0075557E">
        <w:rPr>
          <w:rFonts w:ascii="Arial" w:hAnsi="Arial" w:cs="Arial"/>
          <w:sz w:val="18"/>
          <w:szCs w:val="18"/>
          <w:lang w:val="el-GR"/>
        </w:rPr>
        <w:t xml:space="preserve">κατά το τρίμηνο διαμορφώθηκαν σε </w:t>
      </w:r>
      <w:r w:rsidR="006D3378" w:rsidRPr="0075557E">
        <w:rPr>
          <w:rFonts w:ascii="Arial" w:hAnsi="Arial" w:cs="Arial"/>
          <w:sz w:val="18"/>
          <w:szCs w:val="18"/>
          <w:lang w:val="el-GR"/>
        </w:rPr>
        <w:t>€67</w:t>
      </w:r>
      <w:r w:rsidR="00913D10" w:rsidRPr="0075557E">
        <w:rPr>
          <w:rFonts w:ascii="Arial" w:hAnsi="Arial" w:cs="Arial"/>
          <w:sz w:val="18"/>
          <w:szCs w:val="18"/>
          <w:lang w:val="el-GR"/>
        </w:rPr>
        <w:t xml:space="preserve"> </w:t>
      </w:r>
      <w:r w:rsidRPr="0075557E">
        <w:rPr>
          <w:rFonts w:ascii="Arial" w:hAnsi="Arial" w:cs="Arial"/>
          <w:sz w:val="18"/>
          <w:szCs w:val="18"/>
          <w:lang w:val="el-GR"/>
        </w:rPr>
        <w:t>εκ.</w:t>
      </w:r>
    </w:p>
    <w:p w:rsidR="006863DD" w:rsidRPr="0075557E" w:rsidRDefault="006863DD" w:rsidP="006863DD">
      <w:pPr>
        <w:pStyle w:val="style1"/>
        <w:tabs>
          <w:tab w:val="left" w:pos="7380"/>
        </w:tabs>
        <w:spacing w:before="0" w:beforeAutospacing="0" w:after="0" w:afterAutospacing="0"/>
        <w:jc w:val="both"/>
        <w:rPr>
          <w:rFonts w:ascii="Arial" w:hAnsi="Arial" w:cs="Arial"/>
          <w:sz w:val="18"/>
          <w:szCs w:val="18"/>
          <w:lang w:val="el-GR"/>
        </w:rPr>
      </w:pPr>
    </w:p>
    <w:p w:rsidR="006863DD" w:rsidRPr="0075557E" w:rsidRDefault="00663C0D" w:rsidP="006863DD">
      <w:pPr>
        <w:pStyle w:val="style1"/>
        <w:tabs>
          <w:tab w:val="left" w:pos="7380"/>
        </w:tabs>
        <w:spacing w:before="0" w:beforeAutospacing="0" w:after="0" w:afterAutospacing="0"/>
        <w:jc w:val="both"/>
        <w:rPr>
          <w:rFonts w:ascii="Arial" w:hAnsi="Arial" w:cs="Arial"/>
          <w:sz w:val="18"/>
          <w:szCs w:val="18"/>
          <w:lang w:val="el-GR"/>
        </w:rPr>
      </w:pPr>
      <w:bookmarkStart w:id="9" w:name="OLE_LINK8"/>
      <w:bookmarkStart w:id="10" w:name="OLE_LINK9"/>
      <w:bookmarkEnd w:id="7"/>
      <w:bookmarkEnd w:id="8"/>
      <w:r w:rsidRPr="0075557E">
        <w:rPr>
          <w:rFonts w:ascii="Arial" w:hAnsi="Arial" w:cs="Arial"/>
          <w:sz w:val="18"/>
          <w:szCs w:val="18"/>
          <w:lang w:val="el-GR"/>
        </w:rPr>
        <w:t xml:space="preserve">Στις 30 Σεπτεμβρίου 2014, τα ενοποιημένα ίδια κεφάλαια (Consolidated Shareholders’ Equity) ανήλθαν σε €2,76 δισ. Η </w:t>
      </w:r>
      <w:r w:rsidRPr="0075557E">
        <w:rPr>
          <w:rFonts w:ascii="Arial" w:hAnsi="Arial" w:cs="Arial"/>
          <w:b/>
          <w:sz w:val="18"/>
          <w:szCs w:val="18"/>
          <w:lang w:val="el-GR"/>
        </w:rPr>
        <w:t>Καθαρή Οικονομική Θέση (NFP)</w:t>
      </w:r>
      <w:r w:rsidRPr="0075557E">
        <w:rPr>
          <w:rFonts w:ascii="Arial" w:hAnsi="Arial" w:cs="Arial"/>
          <w:sz w:val="18"/>
          <w:szCs w:val="18"/>
          <w:lang w:val="el-GR"/>
        </w:rPr>
        <w:t xml:space="preserve"> της GTECH </w:t>
      </w:r>
      <w:r w:rsidR="00646E43">
        <w:rPr>
          <w:rFonts w:ascii="Arial" w:hAnsi="Arial" w:cs="Arial"/>
          <w:sz w:val="18"/>
          <w:szCs w:val="18"/>
          <w:lang w:val="el-GR"/>
        </w:rPr>
        <w:t>ανήλθε σε</w:t>
      </w:r>
      <w:r w:rsidRPr="0075557E">
        <w:rPr>
          <w:rFonts w:ascii="Arial" w:hAnsi="Arial" w:cs="Arial"/>
          <w:sz w:val="18"/>
          <w:szCs w:val="18"/>
          <w:lang w:val="el-GR"/>
        </w:rPr>
        <w:t xml:space="preserve"> €2,58 δισ. έναντι €2,51 δισ. στις 31 Δεκεμβρίου 2013. </w:t>
      </w:r>
      <w:r w:rsidR="00F80E48" w:rsidRPr="0075557E">
        <w:rPr>
          <w:rFonts w:ascii="Arial" w:hAnsi="Arial" w:cs="Arial"/>
          <w:sz w:val="18"/>
          <w:szCs w:val="18"/>
          <w:lang w:val="el-GR"/>
        </w:rPr>
        <w:t>Μετά τις προσαρμογές για την ενσωμάτωση ορισμένων στοιχείων που συνδέονται με την εξαγορά της IGT, η συνολική Καθαρή Οικονομική Θέση (NFP) διαμορφώθηκε σ</w:t>
      </w:r>
      <w:r w:rsidR="00646E43">
        <w:rPr>
          <w:rFonts w:ascii="Arial" w:hAnsi="Arial" w:cs="Arial"/>
          <w:sz w:val="18"/>
          <w:szCs w:val="18"/>
          <w:lang w:val="el-GR"/>
        </w:rPr>
        <w:t>τα</w:t>
      </w:r>
      <w:r w:rsidR="00F80E48" w:rsidRPr="0075557E">
        <w:rPr>
          <w:rFonts w:ascii="Arial" w:hAnsi="Arial" w:cs="Arial"/>
          <w:sz w:val="18"/>
          <w:szCs w:val="18"/>
          <w:lang w:val="el-GR"/>
        </w:rPr>
        <w:t xml:space="preserve"> </w:t>
      </w:r>
      <w:r w:rsidR="00F04C92" w:rsidRPr="0075557E">
        <w:rPr>
          <w:rFonts w:ascii="Arial" w:hAnsi="Arial" w:cs="Arial"/>
          <w:sz w:val="18"/>
          <w:szCs w:val="18"/>
          <w:lang w:val="el-GR"/>
        </w:rPr>
        <w:t>€</w:t>
      </w:r>
      <w:r w:rsidR="00455E11" w:rsidRPr="0075557E">
        <w:rPr>
          <w:rFonts w:ascii="Arial" w:hAnsi="Arial" w:cs="Arial"/>
          <w:sz w:val="18"/>
          <w:szCs w:val="18"/>
          <w:lang w:val="el-GR"/>
        </w:rPr>
        <w:t xml:space="preserve">2.49 </w:t>
      </w:r>
      <w:r w:rsidR="00F80E48" w:rsidRPr="0075557E">
        <w:rPr>
          <w:rFonts w:ascii="Arial" w:hAnsi="Arial" w:cs="Arial"/>
          <w:sz w:val="18"/>
          <w:szCs w:val="18"/>
          <w:lang w:val="el-GR"/>
        </w:rPr>
        <w:t>δισ.</w:t>
      </w:r>
    </w:p>
    <w:p w:rsidR="006863DD" w:rsidRPr="0075557E" w:rsidRDefault="006863DD" w:rsidP="006863DD">
      <w:pPr>
        <w:pStyle w:val="style1"/>
        <w:tabs>
          <w:tab w:val="left" w:pos="7380"/>
        </w:tabs>
        <w:spacing w:before="0" w:beforeAutospacing="0" w:after="0" w:afterAutospacing="0"/>
        <w:jc w:val="both"/>
        <w:rPr>
          <w:rFonts w:ascii="Arial" w:hAnsi="Arial" w:cs="Arial"/>
          <w:sz w:val="18"/>
          <w:szCs w:val="18"/>
          <w:lang w:val="el-GR"/>
        </w:rPr>
      </w:pPr>
    </w:p>
    <w:p w:rsidR="00B64A59" w:rsidRPr="0075557E" w:rsidRDefault="00B64A59" w:rsidP="006863DD">
      <w:pPr>
        <w:pStyle w:val="style1"/>
        <w:tabs>
          <w:tab w:val="left" w:pos="7380"/>
        </w:tabs>
        <w:spacing w:before="0" w:beforeAutospacing="0" w:after="0" w:afterAutospacing="0"/>
        <w:jc w:val="both"/>
        <w:rPr>
          <w:rFonts w:ascii="Arial" w:hAnsi="Arial" w:cs="Arial"/>
          <w:sz w:val="18"/>
          <w:szCs w:val="18"/>
          <w:lang w:val="el-GR"/>
        </w:rPr>
      </w:pPr>
    </w:p>
    <w:p w:rsidR="006863DD" w:rsidRPr="0075557E" w:rsidRDefault="00391DED" w:rsidP="006863DD">
      <w:pPr>
        <w:pStyle w:val="style1"/>
        <w:tabs>
          <w:tab w:val="left" w:pos="7380"/>
        </w:tabs>
        <w:spacing w:before="0" w:beforeAutospacing="0" w:after="0" w:afterAutospacing="0"/>
        <w:jc w:val="both"/>
        <w:rPr>
          <w:rFonts w:ascii="Arial" w:hAnsi="Arial" w:cs="Arial"/>
          <w:sz w:val="18"/>
          <w:szCs w:val="18"/>
          <w:lang w:val="el-GR"/>
        </w:rPr>
      </w:pPr>
      <w:r w:rsidRPr="0075557E">
        <w:rPr>
          <w:rFonts w:ascii="Arial" w:hAnsi="Arial" w:cs="Arial"/>
          <w:b/>
          <w:sz w:val="18"/>
          <w:szCs w:val="18"/>
          <w:lang w:val="el-GR"/>
        </w:rPr>
        <w:t>Αποτελέσματα 3</w:t>
      </w:r>
      <w:r w:rsidRPr="0075557E">
        <w:rPr>
          <w:rFonts w:ascii="Arial" w:hAnsi="Arial" w:cs="Arial"/>
          <w:b/>
          <w:sz w:val="18"/>
          <w:szCs w:val="18"/>
          <w:vertAlign w:val="superscript"/>
          <w:lang w:val="el-GR"/>
        </w:rPr>
        <w:t>ου</w:t>
      </w:r>
      <w:r w:rsidRPr="0075557E">
        <w:rPr>
          <w:rFonts w:ascii="Arial" w:hAnsi="Arial" w:cs="Arial"/>
          <w:b/>
          <w:sz w:val="18"/>
          <w:szCs w:val="18"/>
          <w:lang w:val="el-GR"/>
        </w:rPr>
        <w:t xml:space="preserve"> Τριμήνου ανά Τομέα Εργασιών</w:t>
      </w:r>
    </w:p>
    <w:p w:rsidR="006863DD" w:rsidRPr="0075557E" w:rsidRDefault="006863DD" w:rsidP="006863DD">
      <w:pPr>
        <w:pStyle w:val="style1"/>
        <w:tabs>
          <w:tab w:val="left" w:pos="7380"/>
        </w:tabs>
        <w:spacing w:before="0" w:beforeAutospacing="0" w:after="0" w:afterAutospacing="0"/>
        <w:jc w:val="both"/>
        <w:rPr>
          <w:rFonts w:ascii="Arial" w:hAnsi="Arial" w:cs="Arial"/>
          <w:b/>
          <w:sz w:val="18"/>
          <w:szCs w:val="18"/>
          <w:u w:val="single"/>
          <w:lang w:val="el-GR"/>
        </w:rPr>
      </w:pPr>
    </w:p>
    <w:p w:rsidR="002D02D9" w:rsidRPr="0075557E" w:rsidRDefault="00391DED" w:rsidP="002D02D9">
      <w:pPr>
        <w:pStyle w:val="style1"/>
        <w:tabs>
          <w:tab w:val="left" w:pos="8280"/>
        </w:tabs>
        <w:spacing w:before="0" w:beforeAutospacing="0" w:after="0" w:afterAutospacing="0"/>
        <w:jc w:val="both"/>
        <w:rPr>
          <w:rFonts w:ascii="Arial" w:hAnsi="Arial" w:cs="Arial"/>
          <w:b/>
          <w:sz w:val="18"/>
          <w:szCs w:val="18"/>
          <w:u w:val="single"/>
          <w:lang w:val="el-GR"/>
        </w:rPr>
      </w:pPr>
      <w:r w:rsidRPr="0075557E">
        <w:rPr>
          <w:rFonts w:ascii="Arial" w:hAnsi="Arial" w:cs="Arial"/>
          <w:b/>
          <w:sz w:val="18"/>
          <w:szCs w:val="18"/>
          <w:u w:val="single"/>
          <w:lang w:val="el-GR"/>
        </w:rPr>
        <w:t>Β. και Ν. Αμερική</w:t>
      </w:r>
    </w:p>
    <w:p w:rsidR="00F80E48" w:rsidRPr="0075557E" w:rsidRDefault="00F80E48" w:rsidP="00F80E48">
      <w:pPr>
        <w:jc w:val="both"/>
        <w:rPr>
          <w:rFonts w:ascii="Arial" w:hAnsi="Arial" w:cs="Arial"/>
          <w:sz w:val="18"/>
          <w:szCs w:val="18"/>
          <w:lang w:val="el-GR"/>
        </w:rPr>
      </w:pPr>
      <w:r w:rsidRPr="0075557E">
        <w:rPr>
          <w:rFonts w:ascii="Arial" w:hAnsi="Arial" w:cs="Arial"/>
          <w:sz w:val="18"/>
          <w:szCs w:val="18"/>
          <w:lang w:val="el-GR"/>
        </w:rPr>
        <w:t xml:space="preserve">Τα έσοδα του τομέα εργασιών Β. και Ν. Αμερικής για το τρίτο τρίμηνο του έτους ανήλθαν σε €234 εκ., σε σύγκριση με </w:t>
      </w:r>
      <w:r w:rsidR="00C15A86" w:rsidRPr="0075557E">
        <w:rPr>
          <w:rFonts w:ascii="Arial" w:hAnsi="Arial" w:cs="Arial"/>
          <w:sz w:val="18"/>
          <w:szCs w:val="18"/>
          <w:lang w:val="el-GR"/>
        </w:rPr>
        <w:t>€251</w:t>
      </w:r>
      <w:r w:rsidR="00154789" w:rsidRPr="0075557E">
        <w:rPr>
          <w:rFonts w:ascii="Arial" w:hAnsi="Arial" w:cs="Arial"/>
          <w:sz w:val="18"/>
          <w:szCs w:val="18"/>
          <w:lang w:val="el-GR"/>
        </w:rPr>
        <w:t xml:space="preserve"> </w:t>
      </w:r>
      <w:r w:rsidRPr="0075557E">
        <w:rPr>
          <w:rFonts w:ascii="Arial" w:hAnsi="Arial" w:cs="Arial"/>
          <w:sz w:val="18"/>
          <w:szCs w:val="18"/>
          <w:lang w:val="el-GR"/>
        </w:rPr>
        <w:t xml:space="preserve">εκ. το προηγούμενο έτος. </w:t>
      </w:r>
      <w:r w:rsidR="006501D6">
        <w:rPr>
          <w:rFonts w:ascii="Arial" w:hAnsi="Arial" w:cs="Arial"/>
          <w:sz w:val="18"/>
          <w:szCs w:val="18"/>
          <w:lang w:val="el-GR"/>
        </w:rPr>
        <w:t xml:space="preserve">Οι ισχυρές επιδόσεις από τα παιχνίδια στιγμιαίων λαχείων </w:t>
      </w:r>
      <w:r w:rsidR="007815D2" w:rsidRPr="0075557E">
        <w:rPr>
          <w:rFonts w:ascii="Arial" w:hAnsi="Arial" w:cs="Arial"/>
          <w:sz w:val="18"/>
          <w:szCs w:val="18"/>
          <w:lang w:val="el-GR"/>
        </w:rPr>
        <w:t xml:space="preserve">σε </w:t>
      </w:r>
      <w:r w:rsidR="00646E43">
        <w:rPr>
          <w:rFonts w:ascii="Arial" w:hAnsi="Arial" w:cs="Arial"/>
          <w:sz w:val="18"/>
          <w:szCs w:val="18"/>
          <w:lang w:val="el-GR"/>
        </w:rPr>
        <w:t>πολλές περιφέρειες των ΗΠΑ</w:t>
      </w:r>
      <w:r w:rsidR="007815D2" w:rsidRPr="0075557E">
        <w:rPr>
          <w:rFonts w:ascii="Arial" w:hAnsi="Arial" w:cs="Arial"/>
          <w:sz w:val="18"/>
          <w:szCs w:val="18"/>
          <w:lang w:val="el-GR"/>
        </w:rPr>
        <w:t xml:space="preserve"> υπεραντισταθμίστηκαν από </w:t>
      </w:r>
      <w:r w:rsidR="006501D6" w:rsidRPr="0075557E">
        <w:rPr>
          <w:rFonts w:ascii="Arial" w:hAnsi="Arial" w:cs="Arial"/>
          <w:sz w:val="18"/>
          <w:szCs w:val="18"/>
          <w:lang w:val="el-GR"/>
        </w:rPr>
        <w:t>τ</w:t>
      </w:r>
      <w:r w:rsidR="006501D6">
        <w:rPr>
          <w:rFonts w:ascii="Arial" w:hAnsi="Arial" w:cs="Arial"/>
          <w:sz w:val="18"/>
          <w:szCs w:val="18"/>
          <w:lang w:val="el-GR"/>
        </w:rPr>
        <w:t>α</w:t>
      </w:r>
      <w:r w:rsidR="006501D6" w:rsidRPr="0075557E">
        <w:rPr>
          <w:rFonts w:ascii="Arial" w:hAnsi="Arial" w:cs="Arial"/>
          <w:sz w:val="18"/>
          <w:szCs w:val="18"/>
          <w:lang w:val="el-GR"/>
        </w:rPr>
        <w:t xml:space="preserve"> </w:t>
      </w:r>
      <w:r w:rsidR="007815D2" w:rsidRPr="0075557E">
        <w:rPr>
          <w:rFonts w:ascii="Arial" w:hAnsi="Arial" w:cs="Arial"/>
          <w:sz w:val="18"/>
          <w:szCs w:val="18"/>
          <w:lang w:val="el-GR"/>
        </w:rPr>
        <w:t>χαμηλότερ</w:t>
      </w:r>
      <w:r w:rsidR="006501D6">
        <w:rPr>
          <w:rFonts w:ascii="Arial" w:hAnsi="Arial" w:cs="Arial"/>
          <w:sz w:val="18"/>
          <w:szCs w:val="18"/>
          <w:lang w:val="el-GR"/>
        </w:rPr>
        <w:t>α</w:t>
      </w:r>
      <w:r w:rsidR="007815D2" w:rsidRPr="0075557E">
        <w:rPr>
          <w:rFonts w:ascii="Arial" w:hAnsi="Arial" w:cs="Arial"/>
          <w:sz w:val="18"/>
          <w:szCs w:val="18"/>
          <w:lang w:val="el-GR"/>
        </w:rPr>
        <w:t xml:space="preserve"> επίπεδ</w:t>
      </w:r>
      <w:r w:rsidR="006501D6">
        <w:rPr>
          <w:rFonts w:ascii="Arial" w:hAnsi="Arial" w:cs="Arial"/>
          <w:sz w:val="18"/>
          <w:szCs w:val="18"/>
          <w:lang w:val="el-GR"/>
        </w:rPr>
        <w:t>α</w:t>
      </w:r>
      <w:r w:rsidR="007815D2" w:rsidRPr="0075557E">
        <w:rPr>
          <w:rFonts w:ascii="Arial" w:hAnsi="Arial" w:cs="Arial"/>
          <w:sz w:val="18"/>
          <w:szCs w:val="18"/>
          <w:lang w:val="el-GR"/>
        </w:rPr>
        <w:t xml:space="preserve"> </w:t>
      </w:r>
      <w:r w:rsidR="006501D6">
        <w:rPr>
          <w:rFonts w:ascii="Arial" w:hAnsi="Arial" w:cs="Arial"/>
          <w:sz w:val="18"/>
          <w:szCs w:val="18"/>
          <w:lang w:val="el-GR"/>
        </w:rPr>
        <w:t xml:space="preserve">του διαπολιτειακού </w:t>
      </w:r>
      <w:r w:rsidR="007815D2" w:rsidRPr="0075557E">
        <w:rPr>
          <w:rFonts w:ascii="Arial" w:hAnsi="Arial" w:cs="Arial"/>
          <w:sz w:val="18"/>
          <w:szCs w:val="18"/>
          <w:lang w:val="el-GR"/>
        </w:rPr>
        <w:t xml:space="preserve">τζακ-ποτ, καθώς και από τη μείωση των εσόδων από Υπηρεσίες Διαχείρισης Λοταρίας, λόγω μείωσης εσόδων κατά €14 εκ. </w:t>
      </w:r>
      <w:r w:rsidR="006501D6">
        <w:rPr>
          <w:rFonts w:ascii="Arial" w:hAnsi="Arial" w:cs="Arial"/>
          <w:sz w:val="18"/>
          <w:szCs w:val="18"/>
          <w:lang w:val="el-GR"/>
        </w:rPr>
        <w:t xml:space="preserve">που αντιστοιχεί σε αναμενόμενη υστέρηση που αφορά στην </w:t>
      </w:r>
      <w:r w:rsidR="006501D6" w:rsidRPr="00525E48">
        <w:rPr>
          <w:rFonts w:ascii="Arial" w:hAnsi="Arial" w:cs="Arial"/>
          <w:sz w:val="18"/>
          <w:szCs w:val="18"/>
          <w:lang w:val="el-GR"/>
        </w:rPr>
        <w:t xml:space="preserve">Hoosier Lottery </w:t>
      </w:r>
      <w:r w:rsidR="007815D2" w:rsidRPr="00525E48">
        <w:rPr>
          <w:rFonts w:ascii="Arial" w:hAnsi="Arial" w:cs="Arial"/>
          <w:sz w:val="18"/>
          <w:szCs w:val="18"/>
          <w:lang w:val="el-GR"/>
        </w:rPr>
        <w:t xml:space="preserve">στην Ιντιάνα </w:t>
      </w:r>
      <w:r w:rsidR="006501D6">
        <w:rPr>
          <w:rFonts w:ascii="Arial" w:hAnsi="Arial" w:cs="Arial"/>
          <w:sz w:val="18"/>
          <w:szCs w:val="18"/>
          <w:lang w:val="el-GR"/>
        </w:rPr>
        <w:t xml:space="preserve">για </w:t>
      </w:r>
      <w:r w:rsidR="007815D2" w:rsidRPr="00525E48">
        <w:rPr>
          <w:rFonts w:ascii="Arial" w:hAnsi="Arial" w:cs="Arial"/>
          <w:sz w:val="18"/>
          <w:szCs w:val="18"/>
          <w:lang w:val="el-GR"/>
        </w:rPr>
        <w:t xml:space="preserve">τις οικονομικές χρήσεις </w:t>
      </w:r>
      <w:r w:rsidR="006501D6" w:rsidRPr="00525E48">
        <w:rPr>
          <w:rFonts w:ascii="Arial" w:hAnsi="Arial" w:cs="Arial"/>
          <w:sz w:val="18"/>
          <w:szCs w:val="18"/>
          <w:lang w:val="el-GR"/>
        </w:rPr>
        <w:t>2014 και 2015</w:t>
      </w:r>
      <w:r w:rsidR="006501D6">
        <w:rPr>
          <w:rFonts w:ascii="Arial" w:hAnsi="Arial" w:cs="Arial"/>
          <w:sz w:val="18"/>
          <w:szCs w:val="18"/>
          <w:lang w:val="el-GR"/>
        </w:rPr>
        <w:t xml:space="preserve"> </w:t>
      </w:r>
      <w:r w:rsidR="00646E43" w:rsidRPr="00525E48">
        <w:rPr>
          <w:rFonts w:ascii="Arial" w:hAnsi="Arial" w:cs="Arial"/>
          <w:sz w:val="18"/>
          <w:szCs w:val="18"/>
          <w:lang w:val="el-GR"/>
        </w:rPr>
        <w:t xml:space="preserve">της </w:t>
      </w:r>
      <w:r w:rsidR="007815D2" w:rsidRPr="00525E48">
        <w:rPr>
          <w:rFonts w:ascii="Arial" w:hAnsi="Arial" w:cs="Arial"/>
          <w:sz w:val="18"/>
          <w:szCs w:val="18"/>
          <w:lang w:val="el-GR"/>
        </w:rPr>
        <w:t>.</w:t>
      </w:r>
      <w:r w:rsidR="007815D2" w:rsidRPr="0075557E">
        <w:rPr>
          <w:rFonts w:ascii="Arial" w:hAnsi="Arial" w:cs="Arial"/>
          <w:sz w:val="18"/>
          <w:szCs w:val="18"/>
          <w:lang w:val="el-GR"/>
        </w:rPr>
        <w:t xml:space="preserve"> Οι πωλήσεις προϊόντων κατά το τρίμηνο ανήλθαν σε €36 εκ,, υπολειπόμενες κατά €12 εκ. των πωλήσεων </w:t>
      </w:r>
      <w:r w:rsidR="00691E20">
        <w:rPr>
          <w:rFonts w:ascii="Arial" w:hAnsi="Arial" w:cs="Arial"/>
          <w:sz w:val="18"/>
          <w:szCs w:val="18"/>
          <w:lang w:val="el-GR"/>
        </w:rPr>
        <w:t>του</w:t>
      </w:r>
      <w:r w:rsidR="007815D2" w:rsidRPr="0075557E">
        <w:rPr>
          <w:rFonts w:ascii="Arial" w:hAnsi="Arial" w:cs="Arial"/>
          <w:sz w:val="18"/>
          <w:szCs w:val="18"/>
          <w:lang w:val="el-GR"/>
        </w:rPr>
        <w:t xml:space="preserve"> ίδιο</w:t>
      </w:r>
      <w:r w:rsidR="00691E20">
        <w:rPr>
          <w:rFonts w:ascii="Arial" w:hAnsi="Arial" w:cs="Arial"/>
          <w:sz w:val="18"/>
          <w:szCs w:val="18"/>
          <w:lang w:val="el-GR"/>
        </w:rPr>
        <w:t>υ</w:t>
      </w:r>
      <w:r w:rsidR="007815D2" w:rsidRPr="0075557E">
        <w:rPr>
          <w:rFonts w:ascii="Arial" w:hAnsi="Arial" w:cs="Arial"/>
          <w:sz w:val="18"/>
          <w:szCs w:val="18"/>
          <w:lang w:val="el-GR"/>
        </w:rPr>
        <w:t xml:space="preserve"> τρ</w:t>
      </w:r>
      <w:r w:rsidR="00691E20">
        <w:rPr>
          <w:rFonts w:ascii="Arial" w:hAnsi="Arial" w:cs="Arial"/>
          <w:sz w:val="18"/>
          <w:szCs w:val="18"/>
          <w:lang w:val="el-GR"/>
        </w:rPr>
        <w:t>ι</w:t>
      </w:r>
      <w:r w:rsidR="007815D2" w:rsidRPr="0075557E">
        <w:rPr>
          <w:rFonts w:ascii="Arial" w:hAnsi="Arial" w:cs="Arial"/>
          <w:sz w:val="18"/>
          <w:szCs w:val="18"/>
          <w:lang w:val="el-GR"/>
        </w:rPr>
        <w:t>μ</w:t>
      </w:r>
      <w:r w:rsidR="00691E20">
        <w:rPr>
          <w:rFonts w:ascii="Arial" w:hAnsi="Arial" w:cs="Arial"/>
          <w:sz w:val="18"/>
          <w:szCs w:val="18"/>
          <w:lang w:val="el-GR"/>
        </w:rPr>
        <w:t>ή</w:t>
      </w:r>
      <w:r w:rsidR="007815D2" w:rsidRPr="0075557E">
        <w:rPr>
          <w:rFonts w:ascii="Arial" w:hAnsi="Arial" w:cs="Arial"/>
          <w:sz w:val="18"/>
          <w:szCs w:val="18"/>
          <w:lang w:val="el-GR"/>
        </w:rPr>
        <w:t>νο</w:t>
      </w:r>
      <w:r w:rsidR="00691E20">
        <w:rPr>
          <w:rFonts w:ascii="Arial" w:hAnsi="Arial" w:cs="Arial"/>
          <w:sz w:val="18"/>
          <w:szCs w:val="18"/>
          <w:lang w:val="el-GR"/>
        </w:rPr>
        <w:t>υ</w:t>
      </w:r>
      <w:r w:rsidR="007815D2" w:rsidRPr="0075557E">
        <w:rPr>
          <w:rFonts w:ascii="Arial" w:hAnsi="Arial" w:cs="Arial"/>
          <w:sz w:val="18"/>
          <w:szCs w:val="18"/>
          <w:lang w:val="el-GR"/>
        </w:rPr>
        <w:t xml:space="preserve"> το 2013, με τις πωλήσεις τερματικών VLT στον πελάτη της GTECH στο Όρεγκον να αντισταθμίζουν σημαντικό μέρος της αναμενόμενης υποχώρησης των πωλήσεων </w:t>
      </w:r>
      <w:r w:rsidR="0075557E">
        <w:rPr>
          <w:rFonts w:ascii="Arial" w:hAnsi="Arial" w:cs="Arial"/>
          <w:sz w:val="18"/>
          <w:szCs w:val="18"/>
          <w:lang w:val="el-GR"/>
        </w:rPr>
        <w:t>παιγνιομηχαν</w:t>
      </w:r>
      <w:r w:rsidR="0075557E" w:rsidRPr="0075557E">
        <w:rPr>
          <w:rFonts w:ascii="Arial" w:hAnsi="Arial" w:cs="Arial"/>
          <w:sz w:val="18"/>
          <w:szCs w:val="18"/>
          <w:lang w:val="el-GR"/>
        </w:rPr>
        <w:t>ών</w:t>
      </w:r>
      <w:r w:rsidR="00691E20">
        <w:rPr>
          <w:rFonts w:ascii="Arial" w:hAnsi="Arial" w:cs="Arial"/>
          <w:sz w:val="18"/>
          <w:szCs w:val="18"/>
          <w:lang w:val="el-GR"/>
        </w:rPr>
        <w:t xml:space="preserve"> </w:t>
      </w:r>
      <w:r w:rsidR="007815D2" w:rsidRPr="0075557E">
        <w:rPr>
          <w:rFonts w:ascii="Arial" w:hAnsi="Arial" w:cs="Arial"/>
          <w:sz w:val="18"/>
          <w:szCs w:val="18"/>
          <w:lang w:val="el-GR"/>
        </w:rPr>
        <w:t>στον Καναδά.</w:t>
      </w:r>
    </w:p>
    <w:p w:rsidR="007815D2" w:rsidRPr="0075557E" w:rsidRDefault="004107DB" w:rsidP="00D10A69">
      <w:pPr>
        <w:jc w:val="both"/>
        <w:rPr>
          <w:rFonts w:ascii="Arial" w:hAnsi="Arial" w:cs="Arial"/>
          <w:sz w:val="18"/>
          <w:szCs w:val="18"/>
          <w:lang w:val="el-GR"/>
        </w:rPr>
      </w:pPr>
      <w:r w:rsidRPr="0075557E">
        <w:rPr>
          <w:rFonts w:ascii="Arial" w:hAnsi="Arial" w:cs="Arial"/>
          <w:sz w:val="18"/>
          <w:szCs w:val="18"/>
          <w:lang w:val="el-GR"/>
        </w:rPr>
        <w:br/>
      </w:r>
    </w:p>
    <w:p w:rsidR="004B22BB" w:rsidRPr="0075557E" w:rsidRDefault="007815D2" w:rsidP="00C42609">
      <w:pPr>
        <w:jc w:val="both"/>
        <w:rPr>
          <w:rFonts w:ascii="Arial" w:hAnsi="Arial" w:cs="Arial"/>
          <w:sz w:val="18"/>
          <w:szCs w:val="18"/>
          <w:lang w:val="el-GR"/>
        </w:rPr>
      </w:pPr>
      <w:r w:rsidRPr="0075557E">
        <w:rPr>
          <w:rFonts w:ascii="Arial" w:hAnsi="Arial" w:cs="Arial"/>
          <w:sz w:val="18"/>
          <w:szCs w:val="18"/>
          <w:lang w:val="el-GR"/>
        </w:rPr>
        <w:t xml:space="preserve">Τα λειτουργικά έσοδα του τομέα Β. και Ν. Αμερικής </w:t>
      </w:r>
      <w:r w:rsidR="00C42609" w:rsidRPr="0075557E">
        <w:rPr>
          <w:rFonts w:ascii="Arial" w:hAnsi="Arial" w:cs="Arial"/>
          <w:sz w:val="18"/>
          <w:szCs w:val="18"/>
          <w:lang w:val="el-GR"/>
        </w:rPr>
        <w:t xml:space="preserve">ανήλθαν σε €7 εκ. έναντι €28 εκ. για το τρίτο τρίμηνο του προηγούμενου έτους, επηρεαζόμενα κυρίως από τα χαμηλότερα έσοδα από Υπηρεσίες Διαχείρισης Λοταρίας και από τις </w:t>
      </w:r>
      <w:r w:rsidR="0039082B" w:rsidRPr="0075557E">
        <w:rPr>
          <w:rFonts w:ascii="Arial" w:hAnsi="Arial" w:cs="Arial"/>
          <w:sz w:val="18"/>
          <w:szCs w:val="18"/>
          <w:lang w:val="el-GR"/>
        </w:rPr>
        <w:t xml:space="preserve">μειωμένες </w:t>
      </w:r>
      <w:r w:rsidR="00C42609" w:rsidRPr="0075557E">
        <w:rPr>
          <w:rFonts w:ascii="Arial" w:hAnsi="Arial" w:cs="Arial"/>
          <w:sz w:val="18"/>
          <w:szCs w:val="18"/>
          <w:lang w:val="el-GR"/>
        </w:rPr>
        <w:t xml:space="preserve">πωλήσεις προϊόντων. </w:t>
      </w:r>
      <w:bookmarkStart w:id="11" w:name="OLE_LINK35"/>
      <w:bookmarkStart w:id="12" w:name="OLE_LINK38"/>
    </w:p>
    <w:p w:rsidR="00F41ACB" w:rsidRPr="0075557E" w:rsidRDefault="00C42609" w:rsidP="00C42609">
      <w:pPr>
        <w:jc w:val="both"/>
        <w:rPr>
          <w:rFonts w:ascii="Arial" w:hAnsi="Arial" w:cs="Arial"/>
          <w:sz w:val="18"/>
          <w:szCs w:val="18"/>
          <w:lang w:val="el-GR"/>
        </w:rPr>
      </w:pPr>
      <w:r w:rsidRPr="0075557E">
        <w:rPr>
          <w:rFonts w:ascii="Arial" w:hAnsi="Arial" w:cs="Arial"/>
          <w:sz w:val="18"/>
          <w:szCs w:val="18"/>
          <w:lang w:val="el-GR"/>
        </w:rPr>
        <w:lastRenderedPageBreak/>
        <w:t xml:space="preserve">Μετά το κλείσιμο του τριμήνου, στην </w:t>
      </w:r>
      <w:r w:rsidR="0049305A" w:rsidRPr="0075557E">
        <w:rPr>
          <w:rFonts w:ascii="Arial" w:hAnsi="Arial" w:cs="Arial"/>
          <w:sz w:val="18"/>
          <w:szCs w:val="18"/>
          <w:lang w:val="el-GR"/>
        </w:rPr>
        <w:t xml:space="preserve">GTECH </w:t>
      </w:r>
      <w:r w:rsidRPr="0075557E">
        <w:rPr>
          <w:rFonts w:ascii="Arial" w:hAnsi="Arial" w:cs="Arial"/>
          <w:sz w:val="18"/>
          <w:szCs w:val="18"/>
          <w:lang w:val="el-GR"/>
        </w:rPr>
        <w:t>ανατέθηκαν νέες μακροχρόνιες συμβάσεις διαχείρισης υποδομών από οργανισμούς λοταρίας στο Μιζούρι, την Πολιτεία της Ουάσινγκτον και το Μεξικό</w:t>
      </w:r>
      <w:r w:rsidR="0049305A" w:rsidRPr="0075557E">
        <w:rPr>
          <w:rFonts w:ascii="Arial" w:hAnsi="Arial" w:cs="Arial"/>
          <w:sz w:val="18"/>
          <w:szCs w:val="18"/>
          <w:lang w:val="el-GR"/>
        </w:rPr>
        <w:t>.</w:t>
      </w:r>
    </w:p>
    <w:p w:rsidR="00662CF5" w:rsidRPr="0075557E" w:rsidRDefault="00662CF5" w:rsidP="001013CA">
      <w:pPr>
        <w:jc w:val="both"/>
        <w:rPr>
          <w:rFonts w:ascii="Arial" w:hAnsi="Arial" w:cs="Arial"/>
          <w:sz w:val="18"/>
          <w:szCs w:val="18"/>
          <w:lang w:val="el-GR"/>
        </w:rPr>
      </w:pPr>
    </w:p>
    <w:p w:rsidR="00321149" w:rsidRPr="0075557E" w:rsidRDefault="00C42609" w:rsidP="00F42483">
      <w:pPr>
        <w:jc w:val="both"/>
        <w:rPr>
          <w:rFonts w:ascii="Arial" w:hAnsi="Arial" w:cs="Arial"/>
          <w:color w:val="000000"/>
          <w:sz w:val="18"/>
          <w:szCs w:val="18"/>
          <w:lang w:val="el-GR"/>
        </w:rPr>
      </w:pPr>
      <w:r w:rsidRPr="0075557E">
        <w:rPr>
          <w:rFonts w:ascii="Arial" w:hAnsi="Arial" w:cs="Arial"/>
          <w:sz w:val="18"/>
          <w:szCs w:val="18"/>
          <w:lang w:val="el-GR"/>
        </w:rPr>
        <w:t xml:space="preserve">Επιπλέον, τον Οκτώβριο πραγματοποιήθηκε σε 23 Πολιτείες το λανσάρισμα του Monopoly Millionaires’ Club, του νέου αμερικανικού παιχνιδιού </w:t>
      </w:r>
      <w:r w:rsidR="00691E20">
        <w:rPr>
          <w:rFonts w:ascii="Arial" w:hAnsi="Arial" w:cs="Arial"/>
          <w:sz w:val="18"/>
          <w:szCs w:val="18"/>
          <w:lang w:val="el-GR"/>
        </w:rPr>
        <w:t>που στηρίζεται σε κληρώσει</w:t>
      </w:r>
      <w:r w:rsidRPr="0075557E">
        <w:rPr>
          <w:rFonts w:ascii="Arial" w:hAnsi="Arial" w:cs="Arial"/>
          <w:sz w:val="18"/>
          <w:szCs w:val="18"/>
          <w:lang w:val="el-GR"/>
        </w:rPr>
        <w:t>ς</w:t>
      </w:r>
      <w:r w:rsidR="008F1E00" w:rsidRPr="0075557E">
        <w:rPr>
          <w:rFonts w:ascii="Arial" w:hAnsi="Arial" w:cs="Arial"/>
          <w:sz w:val="18"/>
          <w:szCs w:val="18"/>
          <w:lang w:val="el-GR"/>
        </w:rPr>
        <w:t>.</w:t>
      </w:r>
    </w:p>
    <w:p w:rsidR="00662CF5" w:rsidRPr="0075557E" w:rsidRDefault="00662CF5" w:rsidP="001013CA">
      <w:pPr>
        <w:jc w:val="both"/>
        <w:rPr>
          <w:rFonts w:ascii="Arial" w:hAnsi="Arial" w:cs="Arial"/>
          <w:sz w:val="18"/>
          <w:szCs w:val="18"/>
          <w:lang w:val="el-GR"/>
        </w:rPr>
      </w:pPr>
    </w:p>
    <w:bookmarkEnd w:id="11"/>
    <w:bookmarkEnd w:id="12"/>
    <w:p w:rsidR="00567A91" w:rsidRPr="0075557E" w:rsidRDefault="00567A91" w:rsidP="00567A91">
      <w:pPr>
        <w:rPr>
          <w:rFonts w:ascii="Arial" w:hAnsi="Arial" w:cs="Arial"/>
          <w:color w:val="1F497D"/>
          <w:sz w:val="18"/>
          <w:szCs w:val="18"/>
          <w:lang w:val="el-GR"/>
        </w:rPr>
      </w:pPr>
    </w:p>
    <w:p w:rsidR="002D02D9" w:rsidRPr="0075557E" w:rsidRDefault="00391DED" w:rsidP="002D02D9">
      <w:pPr>
        <w:pStyle w:val="style1"/>
        <w:spacing w:before="0" w:beforeAutospacing="0" w:after="0" w:afterAutospacing="0"/>
        <w:jc w:val="both"/>
        <w:rPr>
          <w:rFonts w:ascii="Arial" w:hAnsi="Arial" w:cs="Arial"/>
          <w:b/>
          <w:bCs/>
          <w:sz w:val="18"/>
          <w:szCs w:val="18"/>
          <w:u w:val="single"/>
          <w:lang w:val="el-GR"/>
        </w:rPr>
      </w:pPr>
      <w:r w:rsidRPr="0075557E">
        <w:rPr>
          <w:rFonts w:ascii="Arial" w:hAnsi="Arial" w:cs="Arial"/>
          <w:b/>
          <w:bCs/>
          <w:sz w:val="18"/>
          <w:szCs w:val="18"/>
          <w:u w:val="single"/>
          <w:lang w:val="el-GR"/>
        </w:rPr>
        <w:t>Διεθνείς Δραστηριότητες</w:t>
      </w:r>
    </w:p>
    <w:p w:rsidR="0039082B" w:rsidRPr="0075557E" w:rsidRDefault="0039082B" w:rsidP="0039082B">
      <w:pPr>
        <w:pStyle w:val="style1"/>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έσοδα από τις Διεθνείς Δραστηριότητες διαμορφώθηκαν σε </w:t>
      </w:r>
      <w:r w:rsidR="00715D76" w:rsidRPr="0075557E">
        <w:rPr>
          <w:rFonts w:ascii="Arial" w:hAnsi="Arial" w:cs="Arial"/>
          <w:sz w:val="18"/>
          <w:szCs w:val="18"/>
          <w:lang w:val="el-GR"/>
        </w:rPr>
        <w:t xml:space="preserve">€70 </w:t>
      </w:r>
      <w:r w:rsidRPr="0075557E">
        <w:rPr>
          <w:rFonts w:ascii="Arial" w:hAnsi="Arial" w:cs="Arial"/>
          <w:sz w:val="18"/>
          <w:szCs w:val="18"/>
          <w:lang w:val="el-GR"/>
        </w:rPr>
        <w:t xml:space="preserve">εκ. έναντι </w:t>
      </w:r>
      <w:r w:rsidR="00715D76" w:rsidRPr="0075557E">
        <w:rPr>
          <w:rFonts w:ascii="Arial" w:hAnsi="Arial" w:cs="Arial"/>
          <w:sz w:val="18"/>
          <w:szCs w:val="18"/>
          <w:lang w:val="el-GR"/>
        </w:rPr>
        <w:t>€81</w:t>
      </w:r>
      <w:r w:rsidR="0016333F" w:rsidRPr="0075557E">
        <w:rPr>
          <w:rFonts w:ascii="Arial" w:hAnsi="Arial" w:cs="Arial"/>
          <w:sz w:val="18"/>
          <w:szCs w:val="18"/>
          <w:lang w:val="el-GR"/>
        </w:rPr>
        <w:t xml:space="preserve"> </w:t>
      </w:r>
      <w:r w:rsidRPr="0075557E">
        <w:rPr>
          <w:rFonts w:ascii="Arial" w:hAnsi="Arial" w:cs="Arial"/>
          <w:sz w:val="18"/>
          <w:szCs w:val="18"/>
          <w:lang w:val="el-GR"/>
        </w:rPr>
        <w:t>εκ. το προηγούμενο έτος, κυρίως λόγω των μειωμένων πωλήσεων προϊόντων.</w:t>
      </w:r>
    </w:p>
    <w:p w:rsidR="00F04E73" w:rsidRPr="0075557E" w:rsidRDefault="00F04E73" w:rsidP="002D02D9">
      <w:pPr>
        <w:pStyle w:val="style1"/>
        <w:spacing w:before="0" w:beforeAutospacing="0" w:after="0" w:afterAutospacing="0"/>
        <w:jc w:val="both"/>
        <w:rPr>
          <w:rFonts w:ascii="Arial" w:hAnsi="Arial" w:cs="Arial"/>
          <w:sz w:val="18"/>
          <w:szCs w:val="18"/>
          <w:lang w:val="el-GR"/>
        </w:rPr>
      </w:pPr>
    </w:p>
    <w:p w:rsidR="00F04E73" w:rsidRPr="0075557E" w:rsidRDefault="0039082B" w:rsidP="004E5BC7">
      <w:pPr>
        <w:pStyle w:val="style1"/>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w:t>
      </w:r>
      <w:r w:rsidR="009A0EED">
        <w:rPr>
          <w:rFonts w:ascii="Arial" w:hAnsi="Arial" w:cs="Arial"/>
          <w:sz w:val="18"/>
          <w:szCs w:val="18"/>
          <w:lang w:val="el-GR"/>
        </w:rPr>
        <w:t xml:space="preserve">συγκρίσιμα </w:t>
      </w:r>
      <w:r w:rsidRPr="0075557E">
        <w:rPr>
          <w:rFonts w:ascii="Arial" w:hAnsi="Arial" w:cs="Arial"/>
          <w:sz w:val="18"/>
          <w:szCs w:val="18"/>
          <w:lang w:val="el-GR"/>
        </w:rPr>
        <w:t xml:space="preserve">έσοδα από υφιστάμενα καταστήματα παρουσίασαν αύξηση κατά 4% σε σύγκριση με το ίδιο τρίμηνο του 2013, λόγω της αύξησης των πωλήσεων στιγμιαίων λαχείων </w:t>
      </w:r>
      <w:r w:rsidR="004E5BC7" w:rsidRPr="0075557E">
        <w:rPr>
          <w:rFonts w:ascii="Arial" w:hAnsi="Arial" w:cs="Arial"/>
          <w:sz w:val="18"/>
          <w:szCs w:val="18"/>
          <w:lang w:val="el-GR"/>
        </w:rPr>
        <w:t xml:space="preserve">στη Μ. Βρετανία, ως αποτέλεσμα του βελτιωμένου payout και της συνεχιζόμενης σταδιακής εγκατάστασης των compact τερματικών της GTECH σε νέα σημεία λιανικών πωλήσεων. Στην Πολωνία, η </w:t>
      </w:r>
      <w:r w:rsidR="00F04E73" w:rsidRPr="0075557E">
        <w:rPr>
          <w:rFonts w:ascii="Arial" w:hAnsi="Arial" w:cs="Arial"/>
          <w:sz w:val="18"/>
          <w:szCs w:val="18"/>
          <w:lang w:val="el-GR"/>
        </w:rPr>
        <w:t>Totalizator</w:t>
      </w:r>
      <w:r w:rsidR="004E5BC7" w:rsidRPr="0075557E">
        <w:rPr>
          <w:rFonts w:ascii="Arial" w:hAnsi="Arial" w:cs="Arial"/>
          <w:sz w:val="18"/>
          <w:szCs w:val="18"/>
          <w:lang w:val="el-GR"/>
        </w:rPr>
        <w:t xml:space="preserve"> </w:t>
      </w:r>
      <w:r w:rsidR="00F04E73" w:rsidRPr="0075557E">
        <w:rPr>
          <w:rFonts w:ascii="Arial" w:hAnsi="Arial" w:cs="Arial"/>
          <w:sz w:val="18"/>
          <w:szCs w:val="18"/>
          <w:lang w:val="el-GR"/>
        </w:rPr>
        <w:t xml:space="preserve">Sportowy </w:t>
      </w:r>
      <w:r w:rsidR="004E5BC7" w:rsidRPr="0075557E">
        <w:rPr>
          <w:rFonts w:ascii="Arial" w:hAnsi="Arial" w:cs="Arial"/>
          <w:sz w:val="18"/>
          <w:szCs w:val="18"/>
          <w:lang w:val="el-GR"/>
        </w:rPr>
        <w:t xml:space="preserve">είδε το παιχνίδι </w:t>
      </w:r>
      <w:r w:rsidR="00F04E73" w:rsidRPr="0075557E">
        <w:rPr>
          <w:rFonts w:ascii="Arial" w:hAnsi="Arial" w:cs="Arial"/>
          <w:sz w:val="18"/>
          <w:szCs w:val="18"/>
          <w:lang w:val="el-GR"/>
        </w:rPr>
        <w:t xml:space="preserve">Club Keno </w:t>
      </w:r>
      <w:r w:rsidR="004E5BC7" w:rsidRPr="0075557E">
        <w:rPr>
          <w:rFonts w:ascii="Arial" w:hAnsi="Arial" w:cs="Arial"/>
          <w:sz w:val="18"/>
          <w:szCs w:val="18"/>
          <w:lang w:val="el-GR"/>
        </w:rPr>
        <w:t xml:space="preserve">να καταγράφει σημαντική </w:t>
      </w:r>
      <w:r w:rsidR="00691E20">
        <w:rPr>
          <w:rFonts w:ascii="Arial" w:hAnsi="Arial" w:cs="Arial"/>
          <w:sz w:val="18"/>
          <w:szCs w:val="18"/>
          <w:lang w:val="el-GR"/>
        </w:rPr>
        <w:t>άνοδο</w:t>
      </w:r>
      <w:r w:rsidR="004E5BC7" w:rsidRPr="0075557E">
        <w:rPr>
          <w:rFonts w:ascii="Arial" w:hAnsi="Arial" w:cs="Arial"/>
          <w:sz w:val="18"/>
          <w:szCs w:val="18"/>
          <w:lang w:val="el-GR"/>
        </w:rPr>
        <w:t xml:space="preserve">, λόγω του βελτιωμένου </w:t>
      </w:r>
      <w:r w:rsidR="00F04E73" w:rsidRPr="0075557E">
        <w:rPr>
          <w:rFonts w:ascii="Arial" w:hAnsi="Arial" w:cs="Arial"/>
          <w:sz w:val="18"/>
          <w:szCs w:val="18"/>
          <w:lang w:val="el-GR"/>
        </w:rPr>
        <w:t>payout.</w:t>
      </w:r>
    </w:p>
    <w:p w:rsidR="000270E4" w:rsidRPr="0075557E" w:rsidRDefault="000270E4" w:rsidP="002D02D9">
      <w:pPr>
        <w:pStyle w:val="style1"/>
        <w:spacing w:before="0" w:beforeAutospacing="0" w:after="0" w:afterAutospacing="0"/>
        <w:jc w:val="both"/>
        <w:rPr>
          <w:rFonts w:ascii="Arial" w:hAnsi="Arial" w:cs="Arial"/>
          <w:sz w:val="18"/>
          <w:szCs w:val="18"/>
          <w:lang w:val="el-GR"/>
        </w:rPr>
      </w:pPr>
    </w:p>
    <w:p w:rsidR="00866534" w:rsidRPr="0075557E" w:rsidRDefault="004E5BC7" w:rsidP="004E5BC7">
      <w:pPr>
        <w:pStyle w:val="style1"/>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Τα λειτουργικά έσοδα (</w:t>
      </w:r>
      <w:r w:rsidR="009A0EED">
        <w:rPr>
          <w:rFonts w:ascii="Arial" w:hAnsi="Arial" w:cs="Arial"/>
          <w:sz w:val="18"/>
          <w:szCs w:val="18"/>
          <w:lang w:val="el-GR"/>
        </w:rPr>
        <w:t>Operating Income</w:t>
      </w:r>
      <w:r w:rsidRPr="0075557E">
        <w:rPr>
          <w:rFonts w:ascii="Arial" w:hAnsi="Arial" w:cs="Arial"/>
          <w:sz w:val="18"/>
          <w:szCs w:val="18"/>
          <w:lang w:val="el-GR"/>
        </w:rPr>
        <w:t xml:space="preserve">) του τομέα Διεθνών Δραστηριοτήτων ανήλθαν σε </w:t>
      </w:r>
      <w:r w:rsidR="00C9310C" w:rsidRPr="0075557E">
        <w:rPr>
          <w:rFonts w:ascii="Arial" w:hAnsi="Arial" w:cs="Arial"/>
          <w:sz w:val="18"/>
          <w:szCs w:val="18"/>
          <w:lang w:val="el-GR"/>
        </w:rPr>
        <w:t>€</w:t>
      </w:r>
      <w:r w:rsidR="00866534" w:rsidRPr="0075557E">
        <w:rPr>
          <w:rFonts w:ascii="Arial" w:hAnsi="Arial" w:cs="Arial"/>
          <w:sz w:val="18"/>
          <w:szCs w:val="18"/>
          <w:lang w:val="el-GR"/>
        </w:rPr>
        <w:t>11</w:t>
      </w:r>
      <w:r w:rsidR="00C9310C" w:rsidRPr="0075557E">
        <w:rPr>
          <w:rFonts w:ascii="Arial" w:hAnsi="Arial" w:cs="Arial"/>
          <w:sz w:val="18"/>
          <w:szCs w:val="18"/>
          <w:lang w:val="el-GR"/>
        </w:rPr>
        <w:t xml:space="preserve"> </w:t>
      </w:r>
      <w:r w:rsidRPr="0075557E">
        <w:rPr>
          <w:rFonts w:ascii="Arial" w:hAnsi="Arial" w:cs="Arial"/>
          <w:sz w:val="18"/>
          <w:szCs w:val="18"/>
          <w:lang w:val="el-GR"/>
        </w:rPr>
        <w:t xml:space="preserve">εκ. έναντι </w:t>
      </w:r>
      <w:r w:rsidR="00C9310C" w:rsidRPr="0075557E">
        <w:rPr>
          <w:rFonts w:ascii="Arial" w:hAnsi="Arial" w:cs="Arial"/>
          <w:sz w:val="18"/>
          <w:szCs w:val="18"/>
          <w:lang w:val="el-GR"/>
        </w:rPr>
        <w:t>€</w:t>
      </w:r>
      <w:r w:rsidR="00866534" w:rsidRPr="0075557E">
        <w:rPr>
          <w:rFonts w:ascii="Arial" w:hAnsi="Arial" w:cs="Arial"/>
          <w:sz w:val="18"/>
          <w:szCs w:val="18"/>
          <w:lang w:val="el-GR"/>
        </w:rPr>
        <w:t xml:space="preserve">15 </w:t>
      </w:r>
      <w:r w:rsidRPr="0075557E">
        <w:rPr>
          <w:rFonts w:ascii="Arial" w:hAnsi="Arial" w:cs="Arial"/>
          <w:sz w:val="18"/>
          <w:szCs w:val="18"/>
          <w:lang w:val="el-GR"/>
        </w:rPr>
        <w:t xml:space="preserve">εκ. το προηγούμενο έτος, κυρίως λόγω των μειωμένων πωλήσεων προϊόντων, οι οποίες αντισταθμίστηκαν εν μέρει από την τροποποίηση των όρων της σύμβασης με </w:t>
      </w:r>
      <w:r w:rsidR="00100DE1">
        <w:rPr>
          <w:rFonts w:ascii="Arial" w:hAnsi="Arial" w:cs="Arial"/>
          <w:sz w:val="18"/>
          <w:szCs w:val="18"/>
          <w:lang w:val="el-GR"/>
        </w:rPr>
        <w:t>ευρωπαϊκό</w:t>
      </w:r>
      <w:r w:rsidR="009C11CA">
        <w:rPr>
          <w:rFonts w:ascii="Arial" w:hAnsi="Arial" w:cs="Arial"/>
          <w:sz w:val="18"/>
          <w:szCs w:val="18"/>
          <w:lang w:val="el-GR"/>
        </w:rPr>
        <w:t xml:space="preserve"> </w:t>
      </w:r>
      <w:r w:rsidRPr="0075557E">
        <w:rPr>
          <w:rFonts w:ascii="Arial" w:hAnsi="Arial" w:cs="Arial"/>
          <w:sz w:val="18"/>
          <w:szCs w:val="18"/>
          <w:lang w:val="el-GR"/>
        </w:rPr>
        <w:t xml:space="preserve">πελάτη λοταρίας, η οποία μείωσε τα έσοδα αλλά αύξησε τα </w:t>
      </w:r>
      <w:r w:rsidR="009C11CA">
        <w:rPr>
          <w:rFonts w:ascii="Arial" w:hAnsi="Arial" w:cs="Arial"/>
          <w:sz w:val="18"/>
          <w:szCs w:val="18"/>
          <w:lang w:val="el-GR"/>
        </w:rPr>
        <w:t xml:space="preserve">αντίστοιχα </w:t>
      </w:r>
      <w:r w:rsidRPr="0075557E">
        <w:rPr>
          <w:rFonts w:ascii="Arial" w:hAnsi="Arial" w:cs="Arial"/>
          <w:sz w:val="18"/>
          <w:szCs w:val="18"/>
          <w:lang w:val="el-GR"/>
        </w:rPr>
        <w:t>κέρδη</w:t>
      </w:r>
      <w:r w:rsidR="00691E20">
        <w:rPr>
          <w:rFonts w:ascii="Arial" w:hAnsi="Arial" w:cs="Arial"/>
          <w:sz w:val="18"/>
          <w:szCs w:val="18"/>
          <w:lang w:val="el-GR"/>
        </w:rPr>
        <w:t xml:space="preserve"> και </w:t>
      </w:r>
      <w:r w:rsidR="009C11CA">
        <w:rPr>
          <w:rFonts w:ascii="Arial" w:hAnsi="Arial" w:cs="Arial"/>
          <w:sz w:val="18"/>
          <w:szCs w:val="18"/>
          <w:lang w:val="el-GR"/>
        </w:rPr>
        <w:t xml:space="preserve">τις συνέργειες </w:t>
      </w:r>
      <w:r w:rsidR="00DD39A3" w:rsidRPr="0075557E">
        <w:rPr>
          <w:rFonts w:ascii="Arial" w:hAnsi="Arial" w:cs="Arial"/>
          <w:sz w:val="18"/>
          <w:szCs w:val="18"/>
          <w:lang w:val="el-GR"/>
        </w:rPr>
        <w:t>κόστους</w:t>
      </w:r>
      <w:r w:rsidRPr="0075557E">
        <w:rPr>
          <w:rFonts w:ascii="Arial" w:hAnsi="Arial" w:cs="Arial"/>
          <w:sz w:val="18"/>
          <w:szCs w:val="18"/>
          <w:lang w:val="el-GR"/>
        </w:rPr>
        <w:t>.</w:t>
      </w:r>
    </w:p>
    <w:p w:rsidR="00F41ACB" w:rsidRPr="0075557E" w:rsidRDefault="00F41ACB" w:rsidP="002D02D9">
      <w:pPr>
        <w:pStyle w:val="style1"/>
        <w:spacing w:before="0" w:beforeAutospacing="0" w:after="0" w:afterAutospacing="0"/>
        <w:jc w:val="both"/>
        <w:rPr>
          <w:rFonts w:ascii="Arial" w:hAnsi="Arial" w:cs="Arial"/>
          <w:sz w:val="18"/>
          <w:szCs w:val="18"/>
          <w:lang w:val="el-GR"/>
        </w:rPr>
      </w:pPr>
    </w:p>
    <w:p w:rsidR="00603420" w:rsidRPr="0075557E" w:rsidRDefault="004E5BC7" w:rsidP="006462BD">
      <w:pPr>
        <w:pStyle w:val="style1"/>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Στην Τσεχία, η </w:t>
      </w:r>
      <w:r w:rsidR="00F04E73" w:rsidRPr="0075557E">
        <w:rPr>
          <w:rFonts w:ascii="Arial" w:hAnsi="Arial" w:cs="Arial"/>
          <w:sz w:val="18"/>
          <w:szCs w:val="18"/>
          <w:lang w:val="el-GR"/>
        </w:rPr>
        <w:t>S</w:t>
      </w:r>
      <w:r w:rsidR="00F87B8F" w:rsidRPr="0075557E">
        <w:rPr>
          <w:rFonts w:ascii="Arial" w:hAnsi="Arial" w:cs="Arial"/>
          <w:sz w:val="18"/>
          <w:szCs w:val="18"/>
          <w:lang w:val="el-GR"/>
        </w:rPr>
        <w:t>AZKA</w:t>
      </w:r>
      <w:r w:rsidR="00F04E73" w:rsidRPr="0075557E">
        <w:rPr>
          <w:rFonts w:ascii="Arial" w:hAnsi="Arial" w:cs="Arial"/>
          <w:sz w:val="18"/>
          <w:szCs w:val="18"/>
          <w:lang w:val="el-GR"/>
        </w:rPr>
        <w:t xml:space="preserve"> </w:t>
      </w:r>
      <w:r w:rsidRPr="0075557E">
        <w:rPr>
          <w:rFonts w:ascii="Arial" w:hAnsi="Arial" w:cs="Arial"/>
          <w:sz w:val="18"/>
          <w:szCs w:val="18"/>
          <w:lang w:val="el-GR"/>
        </w:rPr>
        <w:t xml:space="preserve">εντάχθηκε τον Οκτώβριο στο παιχνίδι Eurojackpot το οποίο καλύπτει πολλές χώρες. Στη Νότιο Αφρική, η Εθνική Επιτροπή για τις Λοταρίες </w:t>
      </w:r>
      <w:r w:rsidR="006462BD" w:rsidRPr="0075557E">
        <w:rPr>
          <w:rFonts w:ascii="Arial" w:hAnsi="Arial" w:cs="Arial"/>
          <w:sz w:val="18"/>
          <w:szCs w:val="18"/>
          <w:lang w:val="el-GR"/>
        </w:rPr>
        <w:t xml:space="preserve">ανακήρυξε την ITHUBA ως τον επιλεγέντα υποψήφιο για την έναρξη των διαπραγματεύσεων για την επόμενη άδεια λειτουργίας </w:t>
      </w:r>
      <w:r w:rsidR="00691E20">
        <w:rPr>
          <w:rFonts w:ascii="Arial" w:hAnsi="Arial" w:cs="Arial"/>
          <w:sz w:val="18"/>
          <w:szCs w:val="18"/>
          <w:lang w:val="el-GR"/>
        </w:rPr>
        <w:t xml:space="preserve">της </w:t>
      </w:r>
      <w:r w:rsidR="006462BD" w:rsidRPr="0075557E">
        <w:rPr>
          <w:rFonts w:ascii="Arial" w:hAnsi="Arial" w:cs="Arial"/>
          <w:sz w:val="18"/>
          <w:szCs w:val="18"/>
          <w:lang w:val="el-GR"/>
        </w:rPr>
        <w:t xml:space="preserve">λοταρίας, με την </w:t>
      </w:r>
      <w:r w:rsidR="00603420" w:rsidRPr="0075557E">
        <w:rPr>
          <w:rFonts w:ascii="Arial" w:hAnsi="Arial" w:cs="Arial"/>
          <w:sz w:val="18"/>
          <w:szCs w:val="18"/>
          <w:lang w:val="el-GR"/>
        </w:rPr>
        <w:t xml:space="preserve">GTECH </w:t>
      </w:r>
      <w:r w:rsidR="00691E20">
        <w:rPr>
          <w:rFonts w:ascii="Arial" w:hAnsi="Arial" w:cs="Arial"/>
          <w:sz w:val="18"/>
          <w:szCs w:val="18"/>
          <w:lang w:val="el-GR"/>
        </w:rPr>
        <w:t>ως</w:t>
      </w:r>
      <w:r w:rsidR="006462BD" w:rsidRPr="0075557E">
        <w:rPr>
          <w:rFonts w:ascii="Arial" w:hAnsi="Arial" w:cs="Arial"/>
          <w:sz w:val="18"/>
          <w:szCs w:val="18"/>
          <w:lang w:val="el-GR"/>
        </w:rPr>
        <w:t xml:space="preserve"> </w:t>
      </w:r>
      <w:r w:rsidR="00691E20">
        <w:rPr>
          <w:rFonts w:ascii="Arial" w:hAnsi="Arial" w:cs="Arial"/>
          <w:sz w:val="18"/>
          <w:szCs w:val="18"/>
          <w:lang w:val="el-GR"/>
        </w:rPr>
        <w:t>τεχνολογικό της πάροχο.</w:t>
      </w:r>
    </w:p>
    <w:p w:rsidR="002D02D9" w:rsidRPr="0075557E" w:rsidRDefault="002D02D9" w:rsidP="002D02D9">
      <w:pPr>
        <w:pStyle w:val="style1"/>
        <w:spacing w:before="0" w:beforeAutospacing="0" w:after="0" w:afterAutospacing="0"/>
        <w:jc w:val="both"/>
        <w:rPr>
          <w:rFonts w:ascii="Arial" w:hAnsi="Arial" w:cs="Arial"/>
          <w:sz w:val="18"/>
          <w:szCs w:val="18"/>
          <w:lang w:val="el-GR"/>
        </w:rPr>
      </w:pPr>
    </w:p>
    <w:p w:rsidR="00B64A59" w:rsidRPr="0075557E" w:rsidRDefault="00B64A59" w:rsidP="002D02D9">
      <w:pPr>
        <w:pStyle w:val="style1"/>
        <w:spacing w:before="0" w:beforeAutospacing="0" w:after="0" w:afterAutospacing="0"/>
        <w:jc w:val="both"/>
        <w:rPr>
          <w:rFonts w:ascii="Arial" w:hAnsi="Arial" w:cs="Arial"/>
          <w:sz w:val="18"/>
          <w:szCs w:val="18"/>
          <w:lang w:val="el-GR"/>
        </w:rPr>
      </w:pPr>
    </w:p>
    <w:p w:rsidR="006863DD" w:rsidRPr="0075557E" w:rsidRDefault="00391DED" w:rsidP="006863DD">
      <w:pPr>
        <w:pStyle w:val="style1"/>
        <w:tabs>
          <w:tab w:val="left" w:pos="7380"/>
        </w:tabs>
        <w:spacing w:before="0" w:beforeAutospacing="0" w:after="0" w:afterAutospacing="0"/>
        <w:jc w:val="both"/>
        <w:rPr>
          <w:rFonts w:ascii="Arial" w:hAnsi="Arial" w:cs="Arial"/>
          <w:sz w:val="18"/>
          <w:szCs w:val="18"/>
          <w:lang w:val="el-GR"/>
        </w:rPr>
      </w:pPr>
      <w:r w:rsidRPr="0075557E">
        <w:rPr>
          <w:rFonts w:ascii="Arial" w:hAnsi="Arial" w:cs="Arial"/>
          <w:b/>
          <w:sz w:val="18"/>
          <w:szCs w:val="18"/>
          <w:u w:val="single"/>
          <w:lang w:val="el-GR"/>
        </w:rPr>
        <w:t>Ιταλία</w:t>
      </w:r>
    </w:p>
    <w:p w:rsidR="00715D76" w:rsidRPr="0075557E" w:rsidRDefault="00DD39A3" w:rsidP="00DD39A3">
      <w:pPr>
        <w:pStyle w:val="style1"/>
        <w:tabs>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Τα έσοδα από τον τομέα εργασιών της Ιταλίας κατέγραψαν αύξηση κατά 7% και διαμορφώθηκαν σε €424 εκ. έναντι €398 για το τρίτο τρίμηνο του 2013, λόγω της σημαντικής ανάπτυξης των στοιχημάτων Lotto και των Αθλητικών Στοιχημάτων.</w:t>
      </w:r>
      <w:r w:rsidR="008C6548" w:rsidRPr="0075557E">
        <w:rPr>
          <w:rFonts w:ascii="Arial" w:hAnsi="Arial" w:cs="Arial"/>
          <w:sz w:val="18"/>
          <w:szCs w:val="18"/>
          <w:lang w:val="el-GR"/>
        </w:rPr>
        <w:t xml:space="preserve"> </w:t>
      </w:r>
    </w:p>
    <w:p w:rsidR="00EA043D" w:rsidRPr="0075557E" w:rsidRDefault="00EA043D" w:rsidP="006863DD">
      <w:pPr>
        <w:pStyle w:val="style1"/>
        <w:tabs>
          <w:tab w:val="left" w:pos="8280"/>
        </w:tabs>
        <w:spacing w:before="0" w:beforeAutospacing="0" w:after="0" w:afterAutospacing="0"/>
        <w:jc w:val="both"/>
        <w:rPr>
          <w:rFonts w:ascii="Arial" w:hAnsi="Arial" w:cs="Arial"/>
          <w:sz w:val="18"/>
          <w:szCs w:val="18"/>
          <w:lang w:val="el-GR"/>
        </w:rPr>
      </w:pPr>
    </w:p>
    <w:p w:rsidR="007217D7" w:rsidRPr="0075557E" w:rsidRDefault="007217D7" w:rsidP="007217D7">
      <w:pPr>
        <w:pStyle w:val="style1"/>
        <w:tabs>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συνολικά στοιχήματα </w:t>
      </w:r>
      <w:r w:rsidR="00605A70" w:rsidRPr="0075557E">
        <w:rPr>
          <w:rFonts w:ascii="Arial" w:hAnsi="Arial" w:cs="Arial"/>
          <w:sz w:val="18"/>
          <w:szCs w:val="18"/>
          <w:lang w:val="el-GR"/>
        </w:rPr>
        <w:t>Lotto</w:t>
      </w:r>
      <w:r w:rsidR="00EA043D" w:rsidRPr="0075557E">
        <w:rPr>
          <w:rFonts w:ascii="Arial" w:hAnsi="Arial" w:cs="Arial"/>
          <w:sz w:val="18"/>
          <w:szCs w:val="18"/>
          <w:lang w:val="el-GR"/>
        </w:rPr>
        <w:t xml:space="preserve"> </w:t>
      </w:r>
      <w:r w:rsidRPr="0075557E">
        <w:rPr>
          <w:rFonts w:ascii="Arial" w:hAnsi="Arial" w:cs="Arial"/>
          <w:sz w:val="18"/>
          <w:szCs w:val="18"/>
          <w:lang w:val="el-GR"/>
        </w:rPr>
        <w:t xml:space="preserve">για το τρίμηνο ανήλθαν σε €1,75 δισ., σε σύγκριση με €1,52 δισ. το προηγούμενο έτος, παρουσιάζοντας αύξηση 16% </w:t>
      </w:r>
      <w:r w:rsidR="00D3091E">
        <w:rPr>
          <w:rFonts w:ascii="Arial" w:hAnsi="Arial" w:cs="Arial"/>
          <w:sz w:val="18"/>
          <w:szCs w:val="18"/>
          <w:lang w:val="el-GR"/>
        </w:rPr>
        <w:t>σαν</w:t>
      </w:r>
      <w:r w:rsidRPr="0075557E">
        <w:rPr>
          <w:rFonts w:ascii="Arial" w:hAnsi="Arial" w:cs="Arial"/>
          <w:sz w:val="18"/>
          <w:szCs w:val="18"/>
          <w:lang w:val="el-GR"/>
        </w:rPr>
        <w:t xml:space="preserve"> αποτέλεσμα των καινοτομιών στο </w:t>
      </w:r>
      <w:r w:rsidR="000C3C83">
        <w:rPr>
          <w:rFonts w:ascii="Arial" w:hAnsi="Arial" w:cs="Arial"/>
          <w:sz w:val="18"/>
          <w:szCs w:val="18"/>
          <w:lang w:val="el-GR"/>
        </w:rPr>
        <w:t>παιχν</w:t>
      </w:r>
      <w:r w:rsidR="00100DE1">
        <w:rPr>
          <w:rFonts w:ascii="Arial" w:hAnsi="Arial" w:cs="Arial"/>
          <w:sz w:val="18"/>
          <w:szCs w:val="18"/>
          <w:lang w:val="el-GR"/>
        </w:rPr>
        <w:t>ί</w:t>
      </w:r>
      <w:r w:rsidR="000C3C83">
        <w:rPr>
          <w:rFonts w:ascii="Arial" w:hAnsi="Arial" w:cs="Arial"/>
          <w:sz w:val="18"/>
          <w:szCs w:val="18"/>
          <w:lang w:val="el-GR"/>
        </w:rPr>
        <w:t>δι</w:t>
      </w:r>
      <w:r w:rsidR="000C3C83" w:rsidRPr="0075557E">
        <w:rPr>
          <w:rFonts w:ascii="Arial" w:hAnsi="Arial" w:cs="Arial"/>
          <w:sz w:val="18"/>
          <w:szCs w:val="18"/>
          <w:lang w:val="el-GR"/>
        </w:rPr>
        <w:t xml:space="preserve"> </w:t>
      </w:r>
      <w:r w:rsidR="000C3C83">
        <w:rPr>
          <w:rFonts w:ascii="Arial" w:hAnsi="Arial" w:cs="Arial"/>
          <w:sz w:val="18"/>
          <w:szCs w:val="18"/>
          <w:lang w:val="el-GR"/>
        </w:rPr>
        <w:t>«</w:t>
      </w:r>
      <w:r w:rsidR="00866534" w:rsidRPr="0075557E">
        <w:rPr>
          <w:rFonts w:ascii="Arial" w:hAnsi="Arial" w:cs="Arial"/>
          <w:sz w:val="18"/>
          <w:szCs w:val="18"/>
          <w:lang w:val="el-GR"/>
        </w:rPr>
        <w:t>10eLotto</w:t>
      </w:r>
      <w:r w:rsidR="000C3C83">
        <w:rPr>
          <w:rFonts w:ascii="Arial" w:hAnsi="Arial" w:cs="Arial"/>
          <w:sz w:val="18"/>
          <w:szCs w:val="18"/>
          <w:lang w:val="el-GR"/>
        </w:rPr>
        <w:t>»</w:t>
      </w:r>
      <w:r w:rsidRPr="0075557E">
        <w:rPr>
          <w:rFonts w:ascii="Arial" w:hAnsi="Arial" w:cs="Arial"/>
          <w:sz w:val="18"/>
          <w:szCs w:val="18"/>
          <w:lang w:val="el-GR"/>
        </w:rPr>
        <w:t>, η οποία και υπεραντιστάθμισε τη μειωμένη δραστηριότητα στοιχημάτων σε «αριθμούς</w:t>
      </w:r>
      <w:r w:rsidR="000C3C83">
        <w:rPr>
          <w:rFonts w:ascii="Arial" w:hAnsi="Arial" w:cs="Arial"/>
          <w:sz w:val="18"/>
          <w:szCs w:val="18"/>
          <w:lang w:val="el-GR"/>
        </w:rPr>
        <w:t xml:space="preserve"> καθυστερημένης εμφάνισης</w:t>
      </w:r>
      <w:r w:rsidRPr="0075557E">
        <w:rPr>
          <w:rFonts w:ascii="Arial" w:hAnsi="Arial" w:cs="Arial"/>
          <w:sz w:val="18"/>
          <w:szCs w:val="18"/>
          <w:lang w:val="el-GR"/>
        </w:rPr>
        <w:t>» (late numbers). Οι πωλήσεις στιγμιαίων λαχείων διαμορφώθηκαν σ</w:t>
      </w:r>
      <w:r w:rsidR="00D3091E">
        <w:rPr>
          <w:rFonts w:ascii="Arial" w:hAnsi="Arial" w:cs="Arial"/>
          <w:sz w:val="18"/>
          <w:szCs w:val="18"/>
          <w:lang w:val="el-GR"/>
        </w:rPr>
        <w:t>τα</w:t>
      </w:r>
      <w:r w:rsidRPr="0075557E">
        <w:rPr>
          <w:rFonts w:ascii="Arial" w:hAnsi="Arial" w:cs="Arial"/>
          <w:sz w:val="18"/>
          <w:szCs w:val="18"/>
          <w:lang w:val="el-GR"/>
        </w:rPr>
        <w:t xml:space="preserve"> </w:t>
      </w:r>
      <w:r w:rsidR="00E63BD1" w:rsidRPr="0075557E">
        <w:rPr>
          <w:rFonts w:ascii="Arial" w:hAnsi="Arial" w:cs="Arial"/>
          <w:sz w:val="18"/>
          <w:szCs w:val="18"/>
          <w:lang w:val="el-GR"/>
        </w:rPr>
        <w:t>€</w:t>
      </w:r>
      <w:r w:rsidR="00866534" w:rsidRPr="0075557E">
        <w:rPr>
          <w:rFonts w:ascii="Arial" w:hAnsi="Arial" w:cs="Arial"/>
          <w:sz w:val="18"/>
          <w:szCs w:val="18"/>
          <w:lang w:val="el-GR"/>
        </w:rPr>
        <w:t>2</w:t>
      </w:r>
      <w:r w:rsidRPr="0075557E">
        <w:rPr>
          <w:rFonts w:ascii="Arial" w:hAnsi="Arial" w:cs="Arial"/>
          <w:sz w:val="18"/>
          <w:szCs w:val="18"/>
          <w:lang w:val="el-GR"/>
        </w:rPr>
        <w:t>,</w:t>
      </w:r>
      <w:r w:rsidR="00866534" w:rsidRPr="0075557E">
        <w:rPr>
          <w:rFonts w:ascii="Arial" w:hAnsi="Arial" w:cs="Arial"/>
          <w:sz w:val="18"/>
          <w:szCs w:val="18"/>
          <w:lang w:val="el-GR"/>
        </w:rPr>
        <w:t xml:space="preserve">18 </w:t>
      </w:r>
      <w:r w:rsidRPr="0075557E">
        <w:rPr>
          <w:rFonts w:ascii="Arial" w:hAnsi="Arial" w:cs="Arial"/>
          <w:sz w:val="18"/>
          <w:szCs w:val="18"/>
          <w:lang w:val="el-GR"/>
        </w:rPr>
        <w:t xml:space="preserve">δισ. έναντι </w:t>
      </w:r>
      <w:r w:rsidR="00EA043D" w:rsidRPr="0075557E">
        <w:rPr>
          <w:rFonts w:ascii="Arial" w:hAnsi="Arial" w:cs="Arial"/>
          <w:sz w:val="18"/>
          <w:szCs w:val="18"/>
          <w:lang w:val="el-GR"/>
        </w:rPr>
        <w:t>€2</w:t>
      </w:r>
      <w:r w:rsidRPr="0075557E">
        <w:rPr>
          <w:rFonts w:ascii="Arial" w:hAnsi="Arial" w:cs="Arial"/>
          <w:sz w:val="18"/>
          <w:szCs w:val="18"/>
          <w:lang w:val="el-GR"/>
        </w:rPr>
        <w:t>,</w:t>
      </w:r>
      <w:r w:rsidR="00EA043D" w:rsidRPr="0075557E">
        <w:rPr>
          <w:rFonts w:ascii="Arial" w:hAnsi="Arial" w:cs="Arial"/>
          <w:sz w:val="18"/>
          <w:szCs w:val="18"/>
          <w:lang w:val="el-GR"/>
        </w:rPr>
        <w:t xml:space="preserve">24 </w:t>
      </w:r>
      <w:r w:rsidRPr="0075557E">
        <w:rPr>
          <w:rFonts w:ascii="Arial" w:hAnsi="Arial" w:cs="Arial"/>
          <w:sz w:val="18"/>
          <w:szCs w:val="18"/>
          <w:lang w:val="el-GR"/>
        </w:rPr>
        <w:t>δισ. το 2013.</w:t>
      </w:r>
    </w:p>
    <w:p w:rsidR="005C71E7" w:rsidRPr="0075557E" w:rsidRDefault="005C71E7" w:rsidP="006863DD">
      <w:pPr>
        <w:pStyle w:val="style1"/>
        <w:tabs>
          <w:tab w:val="left" w:pos="8280"/>
        </w:tabs>
        <w:spacing w:before="0" w:beforeAutospacing="0" w:after="0" w:afterAutospacing="0"/>
        <w:jc w:val="both"/>
        <w:rPr>
          <w:rFonts w:ascii="Arial" w:hAnsi="Arial" w:cs="Arial"/>
          <w:sz w:val="18"/>
          <w:szCs w:val="18"/>
          <w:lang w:val="el-GR"/>
        </w:rPr>
      </w:pPr>
    </w:p>
    <w:p w:rsidR="006863DD" w:rsidRPr="0075557E" w:rsidRDefault="007217D7" w:rsidP="00EA043D">
      <w:pPr>
        <w:pStyle w:val="style1"/>
        <w:tabs>
          <w:tab w:val="left" w:pos="6300"/>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έσοδα από στοιχήματα σε παιγνιομηχανές παρουσίασαν αύξηση άνω του 1% και ανήλθαν σε </w:t>
      </w:r>
      <w:r w:rsidR="00866534" w:rsidRPr="0075557E">
        <w:rPr>
          <w:rFonts w:ascii="Arial" w:hAnsi="Arial" w:cs="Arial"/>
          <w:sz w:val="18"/>
          <w:szCs w:val="18"/>
          <w:lang w:val="el-GR"/>
        </w:rPr>
        <w:t xml:space="preserve">€138 </w:t>
      </w:r>
      <w:r w:rsidRPr="0075557E">
        <w:rPr>
          <w:rFonts w:ascii="Arial" w:hAnsi="Arial" w:cs="Arial"/>
          <w:sz w:val="18"/>
          <w:szCs w:val="18"/>
          <w:lang w:val="el-GR"/>
        </w:rPr>
        <w:t xml:space="preserve">εκ. έναντι </w:t>
      </w:r>
      <w:r w:rsidR="00866534" w:rsidRPr="0075557E">
        <w:rPr>
          <w:rFonts w:ascii="Arial" w:hAnsi="Arial" w:cs="Arial"/>
          <w:sz w:val="18"/>
          <w:szCs w:val="18"/>
          <w:lang w:val="el-GR"/>
        </w:rPr>
        <w:t>€136</w:t>
      </w:r>
      <w:r w:rsidR="003F1153" w:rsidRPr="0075557E">
        <w:rPr>
          <w:rFonts w:ascii="Arial" w:hAnsi="Arial" w:cs="Arial"/>
          <w:sz w:val="18"/>
          <w:szCs w:val="18"/>
          <w:lang w:val="el-GR"/>
        </w:rPr>
        <w:t xml:space="preserve"> </w:t>
      </w:r>
      <w:r w:rsidRPr="0075557E">
        <w:rPr>
          <w:rFonts w:ascii="Arial" w:hAnsi="Arial" w:cs="Arial"/>
          <w:sz w:val="18"/>
          <w:szCs w:val="18"/>
          <w:lang w:val="el-GR"/>
        </w:rPr>
        <w:t>εκ. το προηγούμενο έτος</w:t>
      </w:r>
      <w:r w:rsidR="003F1153" w:rsidRPr="0075557E">
        <w:rPr>
          <w:rFonts w:ascii="Arial" w:hAnsi="Arial" w:cs="Arial"/>
          <w:sz w:val="18"/>
          <w:szCs w:val="18"/>
          <w:lang w:val="el-GR"/>
        </w:rPr>
        <w:t>.</w:t>
      </w:r>
    </w:p>
    <w:bookmarkEnd w:id="9"/>
    <w:bookmarkEnd w:id="10"/>
    <w:p w:rsidR="00F56286" w:rsidRPr="0075557E" w:rsidRDefault="00F56286" w:rsidP="006863DD">
      <w:pPr>
        <w:pStyle w:val="style1"/>
        <w:tabs>
          <w:tab w:val="left" w:pos="6300"/>
          <w:tab w:val="left" w:pos="8280"/>
        </w:tabs>
        <w:spacing w:before="0" w:beforeAutospacing="0" w:after="0" w:afterAutospacing="0"/>
        <w:jc w:val="both"/>
        <w:rPr>
          <w:rFonts w:ascii="Arial" w:hAnsi="Arial" w:cs="Arial"/>
          <w:sz w:val="18"/>
          <w:szCs w:val="18"/>
          <w:lang w:val="el-GR"/>
        </w:rPr>
      </w:pPr>
    </w:p>
    <w:p w:rsidR="00F56286" w:rsidRPr="0075557E" w:rsidRDefault="007217D7" w:rsidP="006863DD">
      <w:pPr>
        <w:pStyle w:val="style1"/>
        <w:tabs>
          <w:tab w:val="left" w:pos="6300"/>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έσοδα από αθλητικά στοιχήματα αυξήθηκαν κατά 59% και ανήλθαν σε €40 εκ., λόγω της αύξησης κατά 12% του όγκου των στοιχημάτων και λόγω του χαμηλότερου ποσοστού </w:t>
      </w:r>
      <w:r w:rsidR="003F1153" w:rsidRPr="0075557E">
        <w:rPr>
          <w:rFonts w:ascii="Arial" w:hAnsi="Arial" w:cs="Arial"/>
          <w:sz w:val="18"/>
          <w:szCs w:val="18"/>
          <w:lang w:val="el-GR"/>
        </w:rPr>
        <w:t>payout</w:t>
      </w:r>
      <w:r w:rsidR="00AC46C3" w:rsidRPr="0075557E">
        <w:rPr>
          <w:rFonts w:ascii="Arial" w:hAnsi="Arial" w:cs="Arial"/>
          <w:sz w:val="18"/>
          <w:szCs w:val="18"/>
          <w:lang w:val="el-GR"/>
        </w:rPr>
        <w:t>.</w:t>
      </w:r>
    </w:p>
    <w:p w:rsidR="00AC48BE" w:rsidRPr="0075557E" w:rsidRDefault="00AC48BE" w:rsidP="006863DD">
      <w:pPr>
        <w:pStyle w:val="style1"/>
        <w:tabs>
          <w:tab w:val="left" w:pos="6300"/>
          <w:tab w:val="left" w:pos="8280"/>
        </w:tabs>
        <w:spacing w:before="0" w:beforeAutospacing="0" w:after="0" w:afterAutospacing="0"/>
        <w:jc w:val="both"/>
        <w:rPr>
          <w:rFonts w:ascii="Arial" w:hAnsi="Arial" w:cs="Arial"/>
          <w:sz w:val="18"/>
          <w:szCs w:val="18"/>
          <w:lang w:val="el-GR"/>
        </w:rPr>
      </w:pPr>
    </w:p>
    <w:p w:rsidR="00F57BC5" w:rsidRPr="0075557E" w:rsidRDefault="007217D7" w:rsidP="006D14DD">
      <w:pPr>
        <w:pStyle w:val="style1"/>
        <w:tabs>
          <w:tab w:val="left" w:pos="6300"/>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Τα λειτουργικά έσοδα (</w:t>
      </w:r>
      <w:r w:rsidR="000C3C83">
        <w:rPr>
          <w:rFonts w:ascii="Arial" w:hAnsi="Arial" w:cs="Arial"/>
          <w:sz w:val="18"/>
          <w:szCs w:val="18"/>
          <w:lang w:val="el-GR"/>
        </w:rPr>
        <w:t>Operating Income</w:t>
      </w:r>
      <w:r w:rsidRPr="0075557E">
        <w:rPr>
          <w:rFonts w:ascii="Arial" w:hAnsi="Arial" w:cs="Arial"/>
          <w:sz w:val="18"/>
          <w:szCs w:val="18"/>
          <w:lang w:val="el-GR"/>
        </w:rPr>
        <w:t xml:space="preserve">) διαμορφώθηκαν σε €151 εκ., επηρεασμένα ευνοϊκά </w:t>
      </w:r>
      <w:r w:rsidR="006D14DD" w:rsidRPr="0075557E">
        <w:rPr>
          <w:rFonts w:ascii="Arial" w:hAnsi="Arial" w:cs="Arial"/>
          <w:sz w:val="18"/>
          <w:szCs w:val="18"/>
          <w:lang w:val="el-GR"/>
        </w:rPr>
        <w:t xml:space="preserve">από την εισροή €14 εκ. από την πώληση, κατά τη διάρκεια του </w:t>
      </w:r>
      <w:r w:rsidR="006D14DD" w:rsidRPr="001253AC">
        <w:rPr>
          <w:rFonts w:ascii="Arial" w:hAnsi="Arial" w:cs="Arial"/>
          <w:sz w:val="18"/>
          <w:szCs w:val="18"/>
          <w:lang w:val="el-GR"/>
        </w:rPr>
        <w:t xml:space="preserve">τριμήνου, των δραστηριοτήτων της Εταιρείας στην Ιταλία που αφορούσαν </w:t>
      </w:r>
      <w:r w:rsidR="00D3091E" w:rsidRPr="001253AC">
        <w:rPr>
          <w:rFonts w:ascii="Arial" w:hAnsi="Arial" w:cs="Arial"/>
          <w:sz w:val="18"/>
          <w:szCs w:val="18"/>
          <w:lang w:val="el-GR"/>
        </w:rPr>
        <w:t>σ</w:t>
      </w:r>
      <w:r w:rsidR="006D14DD" w:rsidRPr="001253AC">
        <w:rPr>
          <w:rFonts w:ascii="Arial" w:hAnsi="Arial" w:cs="Arial"/>
          <w:sz w:val="18"/>
          <w:szCs w:val="18"/>
          <w:lang w:val="el-GR"/>
        </w:rPr>
        <w:t xml:space="preserve">την έκδοση εισιτηρίων αθλητικών διοργανώσεων και εκδηλώσεων, έναντι </w:t>
      </w:r>
      <w:r w:rsidR="00F57BC5" w:rsidRPr="001253AC">
        <w:rPr>
          <w:rFonts w:ascii="Arial" w:hAnsi="Arial" w:cs="Arial"/>
          <w:sz w:val="18"/>
          <w:szCs w:val="18"/>
          <w:lang w:val="el-GR"/>
        </w:rPr>
        <w:t xml:space="preserve">€83 </w:t>
      </w:r>
      <w:r w:rsidR="006D14DD" w:rsidRPr="001253AC">
        <w:rPr>
          <w:rFonts w:ascii="Arial" w:hAnsi="Arial" w:cs="Arial"/>
          <w:sz w:val="18"/>
          <w:szCs w:val="18"/>
          <w:lang w:val="el-GR"/>
        </w:rPr>
        <w:t>εκ. για το ίδιο τρίμηνο του 2013, κατά το οποίο είχε σχηματιστεί πρόβλεψη ύψους €30 εκ. για τη διευθέτηση της</w:t>
      </w:r>
      <w:r w:rsidR="006D14DD" w:rsidRPr="0075557E">
        <w:rPr>
          <w:rFonts w:ascii="Arial" w:hAnsi="Arial" w:cs="Arial"/>
          <w:sz w:val="18"/>
          <w:szCs w:val="18"/>
          <w:lang w:val="el-GR"/>
        </w:rPr>
        <w:t xml:space="preserve"> δικαστικής προσφυγής για </w:t>
      </w:r>
      <w:r w:rsidR="004B478E" w:rsidRPr="0075557E">
        <w:rPr>
          <w:rFonts w:ascii="Arial" w:hAnsi="Arial" w:cs="Arial"/>
          <w:sz w:val="18"/>
          <w:szCs w:val="18"/>
          <w:lang w:val="el-GR"/>
        </w:rPr>
        <w:t>τις παιγνιομηχανές</w:t>
      </w:r>
      <w:r w:rsidR="006D14DD" w:rsidRPr="0075557E">
        <w:rPr>
          <w:rFonts w:ascii="Arial" w:hAnsi="Arial" w:cs="Arial"/>
          <w:sz w:val="18"/>
          <w:szCs w:val="18"/>
          <w:lang w:val="el-GR"/>
        </w:rPr>
        <w:t>. Τα λειτουργικά έξοδα επηρεάστηκα</w:t>
      </w:r>
      <w:r w:rsidR="00100DE1">
        <w:rPr>
          <w:rFonts w:ascii="Arial" w:hAnsi="Arial" w:cs="Arial"/>
          <w:sz w:val="18"/>
          <w:szCs w:val="18"/>
          <w:lang w:val="el-GR"/>
        </w:rPr>
        <w:t>ν επίσης ευνοϊκά από την αύξηση</w:t>
      </w:r>
      <w:r w:rsidR="006D14DD" w:rsidRPr="0075557E">
        <w:rPr>
          <w:rFonts w:ascii="Arial" w:hAnsi="Arial" w:cs="Arial"/>
          <w:sz w:val="18"/>
          <w:szCs w:val="18"/>
          <w:lang w:val="el-GR"/>
        </w:rPr>
        <w:t xml:space="preserve"> των εσόδων από το </w:t>
      </w:r>
      <w:r w:rsidR="00F57BC5" w:rsidRPr="0075557E">
        <w:rPr>
          <w:rFonts w:ascii="Arial" w:hAnsi="Arial" w:cs="Arial"/>
          <w:sz w:val="18"/>
          <w:szCs w:val="18"/>
          <w:lang w:val="el-GR"/>
        </w:rPr>
        <w:t>Lotto</w:t>
      </w:r>
      <w:r w:rsidR="00F55C88" w:rsidRPr="00F55C88">
        <w:rPr>
          <w:rFonts w:ascii="Arial" w:hAnsi="Arial" w:cs="Arial"/>
          <w:sz w:val="18"/>
          <w:szCs w:val="18"/>
          <w:lang w:val="el-GR"/>
        </w:rPr>
        <w:t xml:space="preserve"> </w:t>
      </w:r>
      <w:r w:rsidR="00F55C88" w:rsidRPr="0075557E">
        <w:rPr>
          <w:rFonts w:ascii="Arial" w:hAnsi="Arial" w:cs="Arial"/>
          <w:sz w:val="18"/>
          <w:szCs w:val="18"/>
          <w:lang w:val="el-GR"/>
        </w:rPr>
        <w:t>κατά €11 εκ</w:t>
      </w:r>
      <w:r w:rsidR="00F57BC5" w:rsidRPr="0075557E">
        <w:rPr>
          <w:rFonts w:ascii="Arial" w:hAnsi="Arial" w:cs="Arial"/>
          <w:sz w:val="18"/>
          <w:szCs w:val="18"/>
          <w:lang w:val="el-GR"/>
        </w:rPr>
        <w:t>.</w:t>
      </w:r>
    </w:p>
    <w:p w:rsidR="00AC46C3" w:rsidRPr="0075557E" w:rsidRDefault="00AC46C3" w:rsidP="006863DD">
      <w:pPr>
        <w:pStyle w:val="style1"/>
        <w:tabs>
          <w:tab w:val="left" w:pos="6300"/>
          <w:tab w:val="left" w:pos="8280"/>
        </w:tabs>
        <w:spacing w:before="0" w:beforeAutospacing="0" w:after="0" w:afterAutospacing="0"/>
        <w:jc w:val="both"/>
        <w:rPr>
          <w:rFonts w:ascii="Arial" w:hAnsi="Arial" w:cs="Arial"/>
          <w:sz w:val="18"/>
          <w:szCs w:val="18"/>
          <w:lang w:val="el-GR"/>
        </w:rPr>
      </w:pPr>
    </w:p>
    <w:p w:rsidR="006863DD" w:rsidRPr="0075557E" w:rsidRDefault="00391DED" w:rsidP="006863DD">
      <w:pPr>
        <w:pStyle w:val="style1"/>
        <w:tabs>
          <w:tab w:val="left" w:pos="7380"/>
        </w:tabs>
        <w:jc w:val="both"/>
        <w:rPr>
          <w:rFonts w:ascii="Arial" w:hAnsi="Arial" w:cs="Arial"/>
          <w:sz w:val="18"/>
          <w:szCs w:val="18"/>
          <w:u w:val="single"/>
          <w:lang w:val="el-GR"/>
        </w:rPr>
      </w:pPr>
      <w:r w:rsidRPr="0075557E">
        <w:rPr>
          <w:rFonts w:ascii="Arial" w:hAnsi="Arial" w:cs="Arial"/>
          <w:b/>
          <w:sz w:val="18"/>
          <w:szCs w:val="18"/>
          <w:u w:val="single"/>
          <w:lang w:val="el-GR"/>
        </w:rPr>
        <w:t>Ενοποιημένα Αποτελέσματα Εννεαμήνου</w:t>
      </w:r>
    </w:p>
    <w:p w:rsidR="008C5D21" w:rsidRPr="0075557E" w:rsidRDefault="006D14DD" w:rsidP="008C5D21">
      <w:pPr>
        <w:pStyle w:val="PlainText"/>
        <w:jc w:val="both"/>
        <w:rPr>
          <w:rFonts w:ascii="Arial" w:hAnsi="Arial" w:cs="Arial"/>
          <w:sz w:val="18"/>
          <w:szCs w:val="18"/>
          <w:lang w:val="el-GR"/>
        </w:rPr>
      </w:pPr>
      <w:r w:rsidRPr="0075557E">
        <w:rPr>
          <w:rFonts w:ascii="Arial" w:hAnsi="Arial" w:cs="Arial"/>
          <w:sz w:val="18"/>
          <w:szCs w:val="18"/>
          <w:lang w:val="el-GR"/>
        </w:rPr>
        <w:t xml:space="preserve">Για το πρώτο εννεάμηνο του </w:t>
      </w:r>
      <w:r w:rsidR="00866534" w:rsidRPr="0075557E">
        <w:rPr>
          <w:rFonts w:ascii="Arial" w:hAnsi="Arial" w:cs="Arial"/>
          <w:sz w:val="18"/>
          <w:szCs w:val="18"/>
          <w:lang w:val="el-GR"/>
        </w:rPr>
        <w:t>2014</w:t>
      </w:r>
      <w:r w:rsidR="006863DD" w:rsidRPr="0075557E">
        <w:rPr>
          <w:rFonts w:ascii="Arial" w:hAnsi="Arial" w:cs="Arial"/>
          <w:sz w:val="18"/>
          <w:szCs w:val="18"/>
          <w:lang w:val="el-GR"/>
        </w:rPr>
        <w:t xml:space="preserve">, </w:t>
      </w:r>
      <w:r w:rsidRPr="0075557E">
        <w:rPr>
          <w:rFonts w:ascii="Arial" w:hAnsi="Arial" w:cs="Arial"/>
          <w:sz w:val="18"/>
          <w:szCs w:val="18"/>
          <w:lang w:val="el-GR"/>
        </w:rPr>
        <w:t xml:space="preserve">τα </w:t>
      </w:r>
      <w:r w:rsidRPr="0075557E">
        <w:rPr>
          <w:rFonts w:ascii="Arial" w:hAnsi="Arial" w:cs="Arial"/>
          <w:b/>
          <w:sz w:val="18"/>
          <w:szCs w:val="18"/>
          <w:lang w:val="el-GR"/>
        </w:rPr>
        <w:t>έσοδα</w:t>
      </w:r>
      <w:r w:rsidRPr="0075557E">
        <w:rPr>
          <w:rFonts w:ascii="Arial" w:hAnsi="Arial" w:cs="Arial"/>
          <w:sz w:val="18"/>
          <w:szCs w:val="18"/>
          <w:lang w:val="el-GR"/>
        </w:rPr>
        <w:t xml:space="preserve"> διαμορφώθηκαν σε </w:t>
      </w:r>
      <w:r w:rsidR="006863DD" w:rsidRPr="0075557E">
        <w:rPr>
          <w:rFonts w:ascii="Arial" w:hAnsi="Arial" w:cs="Arial"/>
          <w:sz w:val="18"/>
          <w:szCs w:val="18"/>
          <w:lang w:val="el-GR"/>
        </w:rPr>
        <w:t>€</w:t>
      </w:r>
      <w:r w:rsidR="00B34938" w:rsidRPr="0075557E">
        <w:rPr>
          <w:rFonts w:ascii="Arial" w:hAnsi="Arial" w:cs="Arial"/>
          <w:sz w:val="18"/>
          <w:szCs w:val="18"/>
          <w:lang w:val="el-GR"/>
        </w:rPr>
        <w:t>2</w:t>
      </w:r>
      <w:r w:rsidR="008C5D21" w:rsidRPr="0075557E">
        <w:rPr>
          <w:rFonts w:ascii="Arial" w:hAnsi="Arial" w:cs="Arial"/>
          <w:sz w:val="18"/>
          <w:szCs w:val="18"/>
          <w:lang w:val="el-GR"/>
        </w:rPr>
        <w:t>,</w:t>
      </w:r>
      <w:r w:rsidR="00B34938" w:rsidRPr="0075557E">
        <w:rPr>
          <w:rFonts w:ascii="Arial" w:hAnsi="Arial" w:cs="Arial"/>
          <w:sz w:val="18"/>
          <w:szCs w:val="18"/>
          <w:lang w:val="el-GR"/>
        </w:rPr>
        <w:t>26</w:t>
      </w:r>
      <w:r w:rsidR="006863DD" w:rsidRPr="0075557E">
        <w:rPr>
          <w:rFonts w:ascii="Arial" w:hAnsi="Arial" w:cs="Arial"/>
          <w:sz w:val="18"/>
          <w:szCs w:val="18"/>
          <w:lang w:val="el-GR"/>
        </w:rPr>
        <w:t xml:space="preserve"> </w:t>
      </w:r>
      <w:r w:rsidR="008C5D21" w:rsidRPr="0075557E">
        <w:rPr>
          <w:rFonts w:ascii="Arial" w:hAnsi="Arial" w:cs="Arial"/>
          <w:sz w:val="18"/>
          <w:szCs w:val="18"/>
          <w:lang w:val="el-GR"/>
        </w:rPr>
        <w:t xml:space="preserve">δισ. έναντι </w:t>
      </w:r>
      <w:r w:rsidR="006863DD" w:rsidRPr="0075557E">
        <w:rPr>
          <w:rFonts w:ascii="Arial" w:hAnsi="Arial" w:cs="Arial"/>
          <w:sz w:val="18"/>
          <w:szCs w:val="18"/>
          <w:lang w:val="el-GR"/>
        </w:rPr>
        <w:t>€</w:t>
      </w:r>
      <w:r w:rsidR="00B34938" w:rsidRPr="0075557E">
        <w:rPr>
          <w:rFonts w:ascii="Arial" w:hAnsi="Arial" w:cs="Arial"/>
          <w:sz w:val="18"/>
          <w:szCs w:val="18"/>
          <w:lang w:val="el-GR"/>
        </w:rPr>
        <w:t>2</w:t>
      </w:r>
      <w:r w:rsidR="008C5D21" w:rsidRPr="0075557E">
        <w:rPr>
          <w:rFonts w:ascii="Arial" w:hAnsi="Arial" w:cs="Arial"/>
          <w:sz w:val="18"/>
          <w:szCs w:val="18"/>
          <w:lang w:val="el-GR"/>
        </w:rPr>
        <w:t>,</w:t>
      </w:r>
      <w:r w:rsidR="00B34938" w:rsidRPr="0075557E">
        <w:rPr>
          <w:rFonts w:ascii="Arial" w:hAnsi="Arial" w:cs="Arial"/>
          <w:sz w:val="18"/>
          <w:szCs w:val="18"/>
          <w:lang w:val="el-GR"/>
        </w:rPr>
        <w:t>29</w:t>
      </w:r>
      <w:r w:rsidR="006863DD" w:rsidRPr="0075557E">
        <w:rPr>
          <w:rFonts w:ascii="Arial" w:hAnsi="Arial" w:cs="Arial"/>
          <w:sz w:val="18"/>
          <w:szCs w:val="18"/>
          <w:lang w:val="el-GR"/>
        </w:rPr>
        <w:t xml:space="preserve"> </w:t>
      </w:r>
      <w:r w:rsidR="008C5D21" w:rsidRPr="0075557E">
        <w:rPr>
          <w:rFonts w:ascii="Arial" w:hAnsi="Arial" w:cs="Arial"/>
          <w:sz w:val="18"/>
          <w:szCs w:val="18"/>
          <w:lang w:val="el-GR"/>
        </w:rPr>
        <w:t>δισ. για το πρώτο εννεάμηνο του 2013. Τα έσοδα από υπηρεσίες αυξήθηκαν κατά €31 εκ. ή 1,5% σε σύγκριση με την ίδια περίοδο το 2013, λόγω της καλής επίδοσης του τομέα εργασιών της Ιταλίας. Τα έσοδα από υπηρεσίες του τομέα εργασιών Β. και Ν. Αμερικής αυξήθηκαν κατά 3% και διαμορφώθηκαν σε €609 εκ.</w:t>
      </w:r>
    </w:p>
    <w:p w:rsidR="00475DE6" w:rsidRPr="0075557E" w:rsidRDefault="00475DE6" w:rsidP="00475DE6">
      <w:pPr>
        <w:pStyle w:val="PlainText"/>
        <w:jc w:val="both"/>
        <w:rPr>
          <w:rFonts w:ascii="Arial" w:hAnsi="Arial" w:cs="Arial"/>
          <w:sz w:val="18"/>
          <w:szCs w:val="18"/>
          <w:lang w:val="el-GR"/>
        </w:rPr>
      </w:pPr>
    </w:p>
    <w:p w:rsidR="00475DE6" w:rsidRPr="0075557E" w:rsidRDefault="008C5D21" w:rsidP="008C5D21">
      <w:pPr>
        <w:pStyle w:val="style1"/>
        <w:tabs>
          <w:tab w:val="left" w:pos="8280"/>
        </w:tabs>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στοιχήματα </w:t>
      </w:r>
      <w:r w:rsidR="00475DE6" w:rsidRPr="0075557E">
        <w:rPr>
          <w:rFonts w:ascii="Arial" w:hAnsi="Arial" w:cs="Arial"/>
          <w:sz w:val="18"/>
          <w:szCs w:val="18"/>
          <w:lang w:val="el-GR"/>
        </w:rPr>
        <w:t xml:space="preserve">Lotto </w:t>
      </w:r>
      <w:r w:rsidRPr="0075557E">
        <w:rPr>
          <w:rFonts w:ascii="Arial" w:hAnsi="Arial" w:cs="Arial"/>
          <w:sz w:val="18"/>
          <w:szCs w:val="18"/>
          <w:lang w:val="el-GR"/>
        </w:rPr>
        <w:t xml:space="preserve">στην Ιταλία αυξήθηκαν κατά </w:t>
      </w:r>
      <w:r w:rsidR="00B34938" w:rsidRPr="0075557E">
        <w:rPr>
          <w:rFonts w:ascii="Arial" w:hAnsi="Arial" w:cs="Arial"/>
          <w:sz w:val="18"/>
          <w:szCs w:val="18"/>
          <w:lang w:val="el-GR"/>
        </w:rPr>
        <w:t xml:space="preserve">5% </w:t>
      </w:r>
      <w:r w:rsidRPr="0075557E">
        <w:rPr>
          <w:rFonts w:ascii="Arial" w:hAnsi="Arial" w:cs="Arial"/>
          <w:sz w:val="18"/>
          <w:szCs w:val="18"/>
          <w:lang w:val="el-GR"/>
        </w:rPr>
        <w:t xml:space="preserve">και ανήλθαν σε </w:t>
      </w:r>
      <w:r w:rsidR="00B34938" w:rsidRPr="0075557E">
        <w:rPr>
          <w:rFonts w:ascii="Arial" w:hAnsi="Arial" w:cs="Arial"/>
          <w:sz w:val="18"/>
          <w:szCs w:val="18"/>
          <w:lang w:val="el-GR"/>
        </w:rPr>
        <w:t>€4</w:t>
      </w:r>
      <w:r w:rsidRPr="0075557E">
        <w:rPr>
          <w:rFonts w:ascii="Arial" w:hAnsi="Arial" w:cs="Arial"/>
          <w:sz w:val="18"/>
          <w:szCs w:val="18"/>
          <w:lang w:val="el-GR"/>
        </w:rPr>
        <w:t>,</w:t>
      </w:r>
      <w:r w:rsidR="00B34938" w:rsidRPr="0075557E">
        <w:rPr>
          <w:rFonts w:ascii="Arial" w:hAnsi="Arial" w:cs="Arial"/>
          <w:sz w:val="18"/>
          <w:szCs w:val="18"/>
          <w:lang w:val="el-GR"/>
        </w:rPr>
        <w:t>9</w:t>
      </w:r>
      <w:r w:rsidR="00130D06" w:rsidRPr="0075557E">
        <w:rPr>
          <w:rFonts w:ascii="Arial" w:hAnsi="Arial" w:cs="Arial"/>
          <w:sz w:val="18"/>
          <w:szCs w:val="18"/>
          <w:lang w:val="el-GR"/>
        </w:rPr>
        <w:t xml:space="preserve"> </w:t>
      </w:r>
      <w:r w:rsidRPr="0075557E">
        <w:rPr>
          <w:rFonts w:ascii="Arial" w:hAnsi="Arial" w:cs="Arial"/>
          <w:sz w:val="18"/>
          <w:szCs w:val="18"/>
          <w:lang w:val="el-GR"/>
        </w:rPr>
        <w:t xml:space="preserve">δισ. έναντι </w:t>
      </w:r>
      <w:r w:rsidR="00D52543" w:rsidRPr="0075557E">
        <w:rPr>
          <w:rFonts w:ascii="Arial" w:hAnsi="Arial" w:cs="Arial"/>
          <w:sz w:val="18"/>
          <w:szCs w:val="18"/>
          <w:lang w:val="el-GR"/>
        </w:rPr>
        <w:t>€4</w:t>
      </w:r>
      <w:r w:rsidRPr="0075557E">
        <w:rPr>
          <w:rFonts w:ascii="Arial" w:hAnsi="Arial" w:cs="Arial"/>
          <w:sz w:val="18"/>
          <w:szCs w:val="18"/>
          <w:lang w:val="el-GR"/>
        </w:rPr>
        <w:t>,</w:t>
      </w:r>
      <w:r w:rsidR="00AC4B1C" w:rsidRPr="0075557E">
        <w:rPr>
          <w:rFonts w:ascii="Arial" w:hAnsi="Arial" w:cs="Arial"/>
          <w:sz w:val="18"/>
          <w:szCs w:val="18"/>
          <w:lang w:val="el-GR"/>
        </w:rPr>
        <w:t>7</w:t>
      </w:r>
      <w:r w:rsidR="00475DE6" w:rsidRPr="0075557E">
        <w:rPr>
          <w:rFonts w:ascii="Arial" w:hAnsi="Arial" w:cs="Arial"/>
          <w:sz w:val="18"/>
          <w:szCs w:val="18"/>
          <w:lang w:val="el-GR"/>
        </w:rPr>
        <w:t xml:space="preserve"> </w:t>
      </w:r>
      <w:r w:rsidRPr="0075557E">
        <w:rPr>
          <w:rFonts w:ascii="Arial" w:hAnsi="Arial" w:cs="Arial"/>
          <w:sz w:val="18"/>
          <w:szCs w:val="18"/>
          <w:lang w:val="el-GR"/>
        </w:rPr>
        <w:t xml:space="preserve">δισ. το προηγούμενο έτος. Τα στοιχήματα </w:t>
      </w:r>
      <w:r w:rsidR="00B34938" w:rsidRPr="0075557E">
        <w:rPr>
          <w:rFonts w:ascii="Arial" w:hAnsi="Arial" w:cs="Arial"/>
          <w:sz w:val="18"/>
          <w:szCs w:val="18"/>
          <w:lang w:val="el-GR"/>
        </w:rPr>
        <w:t xml:space="preserve">10eLotto </w:t>
      </w:r>
      <w:r w:rsidRPr="0075557E">
        <w:rPr>
          <w:rFonts w:ascii="Arial" w:hAnsi="Arial" w:cs="Arial"/>
          <w:sz w:val="18"/>
          <w:szCs w:val="18"/>
          <w:lang w:val="el-GR"/>
        </w:rPr>
        <w:t xml:space="preserve">αυξήθηκαν κατά </w:t>
      </w:r>
      <w:r w:rsidR="00B34938" w:rsidRPr="0075557E">
        <w:rPr>
          <w:rFonts w:ascii="Arial" w:hAnsi="Arial" w:cs="Arial"/>
          <w:sz w:val="18"/>
          <w:szCs w:val="18"/>
          <w:lang w:val="el-GR"/>
        </w:rPr>
        <w:t xml:space="preserve">19% </w:t>
      </w:r>
      <w:r w:rsidRPr="0075557E">
        <w:rPr>
          <w:rFonts w:ascii="Arial" w:hAnsi="Arial" w:cs="Arial"/>
          <w:sz w:val="18"/>
          <w:szCs w:val="18"/>
          <w:lang w:val="el-GR"/>
        </w:rPr>
        <w:t xml:space="preserve">και ανήλθαν σε </w:t>
      </w:r>
      <w:r w:rsidR="00B34938" w:rsidRPr="0075557E">
        <w:rPr>
          <w:rFonts w:ascii="Arial" w:hAnsi="Arial" w:cs="Arial"/>
          <w:sz w:val="18"/>
          <w:szCs w:val="18"/>
          <w:lang w:val="el-GR"/>
        </w:rPr>
        <w:t>€2</w:t>
      </w:r>
      <w:r w:rsidRPr="0075557E">
        <w:rPr>
          <w:rFonts w:ascii="Arial" w:hAnsi="Arial" w:cs="Arial"/>
          <w:sz w:val="18"/>
          <w:szCs w:val="18"/>
          <w:lang w:val="el-GR"/>
        </w:rPr>
        <w:t>,</w:t>
      </w:r>
      <w:r w:rsidR="00B34938" w:rsidRPr="0075557E">
        <w:rPr>
          <w:rFonts w:ascii="Arial" w:hAnsi="Arial" w:cs="Arial"/>
          <w:sz w:val="18"/>
          <w:szCs w:val="18"/>
          <w:lang w:val="el-GR"/>
        </w:rPr>
        <w:t xml:space="preserve">6 </w:t>
      </w:r>
      <w:r w:rsidRPr="0075557E">
        <w:rPr>
          <w:rFonts w:ascii="Arial" w:hAnsi="Arial" w:cs="Arial"/>
          <w:sz w:val="18"/>
          <w:szCs w:val="18"/>
          <w:lang w:val="el-GR"/>
        </w:rPr>
        <w:t xml:space="preserve">δισ., από </w:t>
      </w:r>
      <w:r w:rsidR="00B34938" w:rsidRPr="0075557E">
        <w:rPr>
          <w:rFonts w:ascii="Arial" w:hAnsi="Arial" w:cs="Arial"/>
          <w:sz w:val="18"/>
          <w:szCs w:val="18"/>
          <w:lang w:val="el-GR"/>
        </w:rPr>
        <w:t>€2</w:t>
      </w:r>
      <w:r w:rsidRPr="0075557E">
        <w:rPr>
          <w:rFonts w:ascii="Arial" w:hAnsi="Arial" w:cs="Arial"/>
          <w:sz w:val="18"/>
          <w:szCs w:val="18"/>
          <w:lang w:val="el-GR"/>
        </w:rPr>
        <w:t>,</w:t>
      </w:r>
      <w:r w:rsidR="00B34938" w:rsidRPr="0075557E">
        <w:rPr>
          <w:rFonts w:ascii="Arial" w:hAnsi="Arial" w:cs="Arial"/>
          <w:sz w:val="18"/>
          <w:szCs w:val="18"/>
          <w:lang w:val="el-GR"/>
        </w:rPr>
        <w:t xml:space="preserve">2 </w:t>
      </w:r>
      <w:r w:rsidRPr="0075557E">
        <w:rPr>
          <w:rFonts w:ascii="Arial" w:hAnsi="Arial" w:cs="Arial"/>
          <w:sz w:val="18"/>
          <w:szCs w:val="18"/>
          <w:lang w:val="el-GR"/>
        </w:rPr>
        <w:t xml:space="preserve">δισ. το 2013. Τα στοιχήματα </w:t>
      </w:r>
      <w:r w:rsidRPr="0075557E">
        <w:rPr>
          <w:rFonts w:ascii="Arial" w:hAnsi="Arial" w:cs="Arial"/>
          <w:sz w:val="18"/>
          <w:szCs w:val="18"/>
          <w:lang w:val="el-GR"/>
        </w:rPr>
        <w:lastRenderedPageBreak/>
        <w:t xml:space="preserve">στιγμιαίων λαχείων διαμορφώθηκαν σε </w:t>
      </w:r>
      <w:r w:rsidR="00B34938" w:rsidRPr="0075557E">
        <w:rPr>
          <w:rFonts w:ascii="Arial" w:hAnsi="Arial" w:cs="Arial"/>
          <w:sz w:val="18"/>
          <w:szCs w:val="18"/>
          <w:lang w:val="el-GR"/>
        </w:rPr>
        <w:t>€7</w:t>
      </w:r>
      <w:r w:rsidR="00475DE6" w:rsidRPr="0075557E">
        <w:rPr>
          <w:rFonts w:ascii="Arial" w:hAnsi="Arial" w:cs="Arial"/>
          <w:sz w:val="18"/>
          <w:szCs w:val="18"/>
          <w:lang w:val="el-GR"/>
        </w:rPr>
        <w:t xml:space="preserve"> </w:t>
      </w:r>
      <w:r w:rsidR="000473A5" w:rsidRPr="0075557E">
        <w:rPr>
          <w:rFonts w:ascii="Arial" w:hAnsi="Arial" w:cs="Arial"/>
          <w:sz w:val="18"/>
          <w:szCs w:val="18"/>
          <w:lang w:val="el-GR"/>
        </w:rPr>
        <w:t>δισ.</w:t>
      </w:r>
      <w:r w:rsidR="00475DE6" w:rsidRPr="0075557E">
        <w:rPr>
          <w:rFonts w:ascii="Arial" w:hAnsi="Arial" w:cs="Arial"/>
          <w:sz w:val="18"/>
          <w:szCs w:val="18"/>
          <w:lang w:val="el-GR"/>
        </w:rPr>
        <w:t xml:space="preserve">, </w:t>
      </w:r>
      <w:r w:rsidRPr="0075557E">
        <w:rPr>
          <w:rFonts w:ascii="Arial" w:hAnsi="Arial" w:cs="Arial"/>
          <w:sz w:val="18"/>
          <w:szCs w:val="18"/>
          <w:lang w:val="el-GR"/>
        </w:rPr>
        <w:t xml:space="preserve">σε σύγκριση με </w:t>
      </w:r>
      <w:r w:rsidR="00B34938" w:rsidRPr="0075557E">
        <w:rPr>
          <w:rFonts w:ascii="Arial" w:hAnsi="Arial" w:cs="Arial"/>
          <w:sz w:val="18"/>
          <w:szCs w:val="18"/>
          <w:lang w:val="el-GR"/>
        </w:rPr>
        <w:t>€7</w:t>
      </w:r>
      <w:r w:rsidRPr="0075557E">
        <w:rPr>
          <w:rFonts w:ascii="Arial" w:hAnsi="Arial" w:cs="Arial"/>
          <w:sz w:val="18"/>
          <w:szCs w:val="18"/>
          <w:lang w:val="el-GR"/>
        </w:rPr>
        <w:t>,</w:t>
      </w:r>
      <w:r w:rsidR="00B34938" w:rsidRPr="0075557E">
        <w:rPr>
          <w:rFonts w:ascii="Arial" w:hAnsi="Arial" w:cs="Arial"/>
          <w:sz w:val="18"/>
          <w:szCs w:val="18"/>
          <w:lang w:val="el-GR"/>
        </w:rPr>
        <w:t>2</w:t>
      </w:r>
      <w:r w:rsidR="00D52543" w:rsidRPr="0075557E">
        <w:rPr>
          <w:rFonts w:ascii="Arial" w:hAnsi="Arial" w:cs="Arial"/>
          <w:sz w:val="18"/>
          <w:szCs w:val="18"/>
          <w:lang w:val="el-GR"/>
        </w:rPr>
        <w:t xml:space="preserve"> </w:t>
      </w:r>
      <w:r w:rsidRPr="0075557E">
        <w:rPr>
          <w:rFonts w:ascii="Arial" w:hAnsi="Arial" w:cs="Arial"/>
          <w:sz w:val="18"/>
          <w:szCs w:val="18"/>
          <w:lang w:val="el-GR"/>
        </w:rPr>
        <w:t xml:space="preserve">δισ. το προηγούμενο έτος. Τέλος, το σύνολο των αθλητικών στοιχημάτων ανήλθε σε </w:t>
      </w:r>
      <w:r w:rsidR="00352260" w:rsidRPr="0075557E">
        <w:rPr>
          <w:rFonts w:ascii="Arial" w:hAnsi="Arial" w:cs="Arial"/>
          <w:sz w:val="18"/>
          <w:szCs w:val="18"/>
          <w:lang w:val="el-GR"/>
        </w:rPr>
        <w:t xml:space="preserve">€643 </w:t>
      </w:r>
      <w:r w:rsidRPr="0075557E">
        <w:rPr>
          <w:rFonts w:ascii="Arial" w:hAnsi="Arial" w:cs="Arial"/>
          <w:sz w:val="18"/>
          <w:szCs w:val="18"/>
          <w:lang w:val="el-GR"/>
        </w:rPr>
        <w:t>εκ., καταγράφοντας αύξηση 18% σε σύγκριση με το τρίτο τρίμηνο του 2013.</w:t>
      </w:r>
    </w:p>
    <w:p w:rsidR="00475DE6" w:rsidRPr="0075557E" w:rsidRDefault="00475DE6" w:rsidP="00475DE6">
      <w:pPr>
        <w:pStyle w:val="PlainText"/>
        <w:jc w:val="both"/>
        <w:rPr>
          <w:rFonts w:ascii="Arial" w:hAnsi="Arial" w:cs="Arial"/>
          <w:sz w:val="18"/>
          <w:szCs w:val="18"/>
          <w:lang w:val="el-GR"/>
        </w:rPr>
      </w:pPr>
    </w:p>
    <w:p w:rsidR="006863DD" w:rsidRPr="0075557E" w:rsidRDefault="000473A5" w:rsidP="00C100BA">
      <w:pPr>
        <w:pStyle w:val="style1"/>
        <w:tabs>
          <w:tab w:val="left" w:pos="7380"/>
        </w:tabs>
        <w:spacing w:before="0" w:beforeAutospacing="0" w:after="0" w:afterAutospacing="0"/>
        <w:jc w:val="both"/>
        <w:rPr>
          <w:rFonts w:ascii="Arial" w:hAnsi="Arial" w:cs="Arial"/>
          <w:sz w:val="18"/>
          <w:szCs w:val="18"/>
          <w:lang w:val="el-GR"/>
        </w:rPr>
      </w:pPr>
      <w:bookmarkStart w:id="13" w:name="OLE_LINK21"/>
      <w:bookmarkStart w:id="14" w:name="OLE_LINK22"/>
      <w:bookmarkStart w:id="15" w:name="OLE_LINK2"/>
      <w:bookmarkStart w:id="16" w:name="OLE_LINK3"/>
      <w:r w:rsidRPr="0075557E">
        <w:rPr>
          <w:rFonts w:ascii="Arial" w:hAnsi="Arial" w:cs="Arial"/>
          <w:sz w:val="18"/>
          <w:szCs w:val="18"/>
          <w:lang w:val="el-GR"/>
        </w:rPr>
        <w:t xml:space="preserve">Τα </w:t>
      </w:r>
      <w:r w:rsidRPr="0075557E">
        <w:rPr>
          <w:rFonts w:ascii="Arial" w:hAnsi="Arial" w:cs="Arial"/>
          <w:b/>
          <w:sz w:val="18"/>
          <w:szCs w:val="18"/>
          <w:lang w:val="el-GR"/>
        </w:rPr>
        <w:t xml:space="preserve">λειτουργικά κέρδη προ φόρων, τόκων και αποσβέσεων (EBITDA) </w:t>
      </w:r>
      <w:r w:rsidRPr="0075557E">
        <w:rPr>
          <w:rFonts w:ascii="Arial" w:hAnsi="Arial" w:cs="Arial"/>
          <w:sz w:val="18"/>
          <w:szCs w:val="18"/>
          <w:lang w:val="el-GR"/>
        </w:rPr>
        <w:t xml:space="preserve">παρουσίασαν αύξηση άνω του </w:t>
      </w:r>
      <w:r w:rsidR="00B34938" w:rsidRPr="0075557E">
        <w:rPr>
          <w:rFonts w:ascii="Arial" w:hAnsi="Arial" w:cs="Arial"/>
          <w:sz w:val="18"/>
          <w:szCs w:val="18"/>
          <w:lang w:val="el-GR"/>
        </w:rPr>
        <w:t>3</w:t>
      </w:r>
      <w:r w:rsidR="00947A59" w:rsidRPr="0075557E">
        <w:rPr>
          <w:rFonts w:ascii="Arial" w:hAnsi="Arial" w:cs="Arial"/>
          <w:sz w:val="18"/>
          <w:szCs w:val="18"/>
          <w:lang w:val="el-GR"/>
        </w:rPr>
        <w:t>%</w:t>
      </w:r>
      <w:r w:rsidR="00B34938" w:rsidRPr="0075557E">
        <w:rPr>
          <w:rFonts w:ascii="Arial" w:hAnsi="Arial" w:cs="Arial"/>
          <w:sz w:val="18"/>
          <w:szCs w:val="18"/>
          <w:lang w:val="el-GR"/>
        </w:rPr>
        <w:t xml:space="preserve"> </w:t>
      </w:r>
      <w:r w:rsidRPr="0075557E">
        <w:rPr>
          <w:rFonts w:ascii="Arial" w:hAnsi="Arial" w:cs="Arial"/>
          <w:sz w:val="18"/>
          <w:szCs w:val="18"/>
          <w:lang w:val="el-GR"/>
        </w:rPr>
        <w:t xml:space="preserve">και διαμορφώθηκαν σε </w:t>
      </w:r>
      <w:r w:rsidR="00B34938" w:rsidRPr="0075557E">
        <w:rPr>
          <w:rFonts w:ascii="Arial" w:hAnsi="Arial" w:cs="Arial"/>
          <w:sz w:val="18"/>
          <w:szCs w:val="18"/>
          <w:lang w:val="el-GR"/>
        </w:rPr>
        <w:t>€817</w:t>
      </w:r>
      <w:r w:rsidR="00DE5690" w:rsidRPr="0075557E">
        <w:rPr>
          <w:rFonts w:ascii="Arial" w:hAnsi="Arial" w:cs="Arial"/>
          <w:sz w:val="18"/>
          <w:szCs w:val="18"/>
          <w:lang w:val="el-GR"/>
        </w:rPr>
        <w:t xml:space="preserve"> </w:t>
      </w:r>
      <w:r w:rsidRPr="0075557E">
        <w:rPr>
          <w:rFonts w:ascii="Arial" w:hAnsi="Arial" w:cs="Arial"/>
          <w:sz w:val="18"/>
          <w:szCs w:val="18"/>
          <w:lang w:val="el-GR"/>
        </w:rPr>
        <w:t xml:space="preserve">εκ. έναντι </w:t>
      </w:r>
      <w:r w:rsidR="00B82A1F" w:rsidRPr="0075557E">
        <w:rPr>
          <w:rFonts w:ascii="Arial" w:hAnsi="Arial" w:cs="Arial"/>
          <w:sz w:val="18"/>
          <w:szCs w:val="18"/>
          <w:lang w:val="el-GR"/>
        </w:rPr>
        <w:t xml:space="preserve">€792 </w:t>
      </w:r>
      <w:r w:rsidRPr="0075557E">
        <w:rPr>
          <w:rFonts w:ascii="Arial" w:hAnsi="Arial" w:cs="Arial"/>
          <w:sz w:val="18"/>
          <w:szCs w:val="18"/>
          <w:lang w:val="el-GR"/>
        </w:rPr>
        <w:t xml:space="preserve">εκ. για το εννεάμηνο του 2013.Τα </w:t>
      </w:r>
      <w:r w:rsidRPr="0075557E">
        <w:rPr>
          <w:rFonts w:ascii="Arial" w:hAnsi="Arial" w:cs="Arial"/>
          <w:b/>
          <w:sz w:val="18"/>
          <w:szCs w:val="18"/>
          <w:lang w:val="el-GR"/>
        </w:rPr>
        <w:t>λειτουργικά έσοδα (κέρδη)</w:t>
      </w:r>
      <w:r w:rsidRPr="0075557E">
        <w:rPr>
          <w:rFonts w:ascii="Arial" w:hAnsi="Arial" w:cs="Arial"/>
          <w:sz w:val="18"/>
          <w:szCs w:val="18"/>
          <w:lang w:val="el-GR"/>
        </w:rPr>
        <w:t xml:space="preserve"> αυξήθηκαν κατά </w:t>
      </w:r>
      <w:r w:rsidR="00B82A1F" w:rsidRPr="0075557E">
        <w:rPr>
          <w:rFonts w:ascii="Arial" w:hAnsi="Arial" w:cs="Arial"/>
          <w:sz w:val="18"/>
          <w:szCs w:val="18"/>
          <w:lang w:val="el-GR"/>
        </w:rPr>
        <w:t xml:space="preserve">3% </w:t>
      </w:r>
      <w:r w:rsidRPr="0075557E">
        <w:rPr>
          <w:rFonts w:ascii="Arial" w:hAnsi="Arial" w:cs="Arial"/>
          <w:sz w:val="18"/>
          <w:szCs w:val="18"/>
          <w:lang w:val="el-GR"/>
        </w:rPr>
        <w:t xml:space="preserve">σε </w:t>
      </w:r>
      <w:r w:rsidR="00B82A1F" w:rsidRPr="0075557E">
        <w:rPr>
          <w:rFonts w:ascii="Arial" w:hAnsi="Arial" w:cs="Arial"/>
          <w:sz w:val="18"/>
          <w:szCs w:val="18"/>
          <w:lang w:val="el-GR"/>
        </w:rPr>
        <w:t xml:space="preserve">€470 </w:t>
      </w:r>
      <w:r w:rsidRPr="0075557E">
        <w:rPr>
          <w:rFonts w:ascii="Arial" w:hAnsi="Arial" w:cs="Arial"/>
          <w:sz w:val="18"/>
          <w:szCs w:val="18"/>
          <w:lang w:val="el-GR"/>
        </w:rPr>
        <w:t xml:space="preserve">εκ. έναντι </w:t>
      </w:r>
      <w:r w:rsidR="00B82A1F" w:rsidRPr="0075557E">
        <w:rPr>
          <w:rFonts w:ascii="Arial" w:hAnsi="Arial" w:cs="Arial"/>
          <w:sz w:val="18"/>
          <w:szCs w:val="18"/>
          <w:lang w:val="el-GR"/>
        </w:rPr>
        <w:t xml:space="preserve">€455 </w:t>
      </w:r>
      <w:r w:rsidRPr="0075557E">
        <w:rPr>
          <w:rFonts w:ascii="Arial" w:hAnsi="Arial" w:cs="Arial"/>
          <w:sz w:val="18"/>
          <w:szCs w:val="18"/>
          <w:lang w:val="el-GR"/>
        </w:rPr>
        <w:t>εκ. το προηγούμενο έτος. Σε σταθερό νόμισμα, τα λειτουργικά κέρδη προ φόρων, τόκων και αποσβέσεων (</w:t>
      </w:r>
      <w:r w:rsidR="00325D14" w:rsidRPr="0075557E">
        <w:rPr>
          <w:rFonts w:ascii="Arial" w:hAnsi="Arial" w:cs="Arial"/>
          <w:sz w:val="18"/>
          <w:szCs w:val="18"/>
          <w:lang w:val="el-GR"/>
        </w:rPr>
        <w:t>EBITDA</w:t>
      </w:r>
      <w:r w:rsidRPr="0075557E">
        <w:rPr>
          <w:rFonts w:ascii="Arial" w:hAnsi="Arial" w:cs="Arial"/>
          <w:sz w:val="18"/>
          <w:szCs w:val="18"/>
          <w:lang w:val="el-GR"/>
        </w:rPr>
        <w:t xml:space="preserve">) και τα λειτουργικά έσοδα (κέρδη) σημείωσαν αύξηση κατά </w:t>
      </w:r>
      <w:r w:rsidR="00325D14" w:rsidRPr="0075557E">
        <w:rPr>
          <w:rFonts w:ascii="Arial" w:hAnsi="Arial" w:cs="Arial"/>
          <w:sz w:val="18"/>
          <w:szCs w:val="18"/>
          <w:lang w:val="el-GR"/>
        </w:rPr>
        <w:t>4%.</w:t>
      </w:r>
    </w:p>
    <w:p w:rsidR="007571E3" w:rsidRPr="0075557E" w:rsidRDefault="007571E3" w:rsidP="00EA77F8">
      <w:pPr>
        <w:pStyle w:val="style1"/>
        <w:tabs>
          <w:tab w:val="left" w:pos="7380"/>
        </w:tabs>
        <w:spacing w:before="0" w:beforeAutospacing="0" w:after="0" w:afterAutospacing="0"/>
        <w:jc w:val="both"/>
        <w:rPr>
          <w:rFonts w:ascii="Arial" w:hAnsi="Arial" w:cs="Arial"/>
          <w:sz w:val="18"/>
          <w:szCs w:val="18"/>
          <w:lang w:val="el-GR"/>
        </w:rPr>
      </w:pPr>
    </w:p>
    <w:bookmarkEnd w:id="13"/>
    <w:bookmarkEnd w:id="14"/>
    <w:p w:rsidR="00EA77F8" w:rsidRPr="0075557E" w:rsidRDefault="000473A5" w:rsidP="00EA77F8">
      <w:pPr>
        <w:jc w:val="both"/>
        <w:rPr>
          <w:rFonts w:ascii="Arial" w:hAnsi="Arial" w:cs="Arial"/>
          <w:sz w:val="18"/>
          <w:szCs w:val="18"/>
          <w:lang w:val="el-GR"/>
        </w:rPr>
      </w:pPr>
      <w:r w:rsidRPr="0075557E">
        <w:rPr>
          <w:rFonts w:ascii="Arial" w:hAnsi="Arial" w:cs="Arial"/>
          <w:sz w:val="18"/>
          <w:szCs w:val="18"/>
          <w:lang w:val="el-GR"/>
        </w:rPr>
        <w:t xml:space="preserve">Η αύξηση του </w:t>
      </w:r>
      <w:r w:rsidRPr="0075557E">
        <w:rPr>
          <w:rFonts w:ascii="Arial" w:hAnsi="Arial" w:cs="Arial"/>
          <w:b/>
          <w:sz w:val="18"/>
          <w:szCs w:val="18"/>
          <w:lang w:val="el-GR"/>
        </w:rPr>
        <w:t xml:space="preserve">τελικού </w:t>
      </w:r>
      <w:r w:rsidR="004B478E" w:rsidRPr="0075557E">
        <w:rPr>
          <w:rFonts w:ascii="Arial" w:hAnsi="Arial" w:cs="Arial"/>
          <w:b/>
          <w:sz w:val="18"/>
          <w:szCs w:val="18"/>
          <w:lang w:val="el-GR"/>
        </w:rPr>
        <w:t>συντελεστή φόρου εισοδήματος</w:t>
      </w:r>
      <w:r w:rsidR="004B478E" w:rsidRPr="0075557E">
        <w:rPr>
          <w:rFonts w:ascii="Arial" w:hAnsi="Arial" w:cs="Arial"/>
          <w:sz w:val="18"/>
          <w:szCs w:val="18"/>
          <w:lang w:val="el-GR"/>
        </w:rPr>
        <w:t xml:space="preserve"> σε </w:t>
      </w:r>
      <w:r w:rsidR="00B82A1F" w:rsidRPr="0075557E">
        <w:rPr>
          <w:rFonts w:ascii="Arial" w:hAnsi="Arial" w:cs="Arial"/>
          <w:sz w:val="18"/>
          <w:szCs w:val="18"/>
          <w:lang w:val="el-GR"/>
        </w:rPr>
        <w:t>41%</w:t>
      </w:r>
      <w:r w:rsidR="004B478E" w:rsidRPr="0075557E">
        <w:rPr>
          <w:rFonts w:ascii="Arial" w:hAnsi="Arial" w:cs="Arial"/>
          <w:sz w:val="18"/>
          <w:szCs w:val="18"/>
          <w:lang w:val="el-GR"/>
        </w:rPr>
        <w:t xml:space="preserve"> από </w:t>
      </w:r>
      <w:r w:rsidR="00B82A1F" w:rsidRPr="0075557E">
        <w:rPr>
          <w:rFonts w:ascii="Arial" w:hAnsi="Arial" w:cs="Arial"/>
          <w:sz w:val="18"/>
          <w:szCs w:val="18"/>
          <w:lang w:val="el-GR"/>
        </w:rPr>
        <w:t>39</w:t>
      </w:r>
      <w:r w:rsidR="004B478E" w:rsidRPr="0075557E">
        <w:rPr>
          <w:rFonts w:ascii="Arial" w:hAnsi="Arial" w:cs="Arial"/>
          <w:sz w:val="18"/>
          <w:szCs w:val="18"/>
          <w:lang w:val="el-GR"/>
        </w:rPr>
        <w:t>,</w:t>
      </w:r>
      <w:r w:rsidR="00B82A1F" w:rsidRPr="0075557E">
        <w:rPr>
          <w:rFonts w:ascii="Arial" w:hAnsi="Arial" w:cs="Arial"/>
          <w:sz w:val="18"/>
          <w:szCs w:val="18"/>
          <w:lang w:val="el-GR"/>
        </w:rPr>
        <w:t xml:space="preserve">8% </w:t>
      </w:r>
      <w:r w:rsidR="004B478E" w:rsidRPr="0075557E">
        <w:rPr>
          <w:rFonts w:ascii="Arial" w:hAnsi="Arial" w:cs="Arial"/>
          <w:sz w:val="18"/>
          <w:szCs w:val="18"/>
          <w:lang w:val="el-GR"/>
        </w:rPr>
        <w:t xml:space="preserve">το προηγούμενο έτος οφείλεται σε μη απαλλασσόμενες από το φόρο δαπάνες εξαγοράς για την εξαγορά της </w:t>
      </w:r>
      <w:r w:rsidR="00352260" w:rsidRPr="0075557E">
        <w:rPr>
          <w:rFonts w:ascii="Arial" w:hAnsi="Arial" w:cs="Arial"/>
          <w:sz w:val="18"/>
          <w:szCs w:val="18"/>
          <w:lang w:val="el-GR"/>
        </w:rPr>
        <w:t>IGT</w:t>
      </w:r>
      <w:r w:rsidR="004B478E" w:rsidRPr="0075557E">
        <w:rPr>
          <w:rFonts w:ascii="Arial" w:hAnsi="Arial" w:cs="Arial"/>
          <w:sz w:val="18"/>
          <w:szCs w:val="18"/>
          <w:lang w:val="el-GR"/>
        </w:rPr>
        <w:t xml:space="preserve"> η οποία βρίσκεται σε εκκρεμότητα</w:t>
      </w:r>
      <w:r w:rsidR="00352260" w:rsidRPr="0075557E">
        <w:rPr>
          <w:rFonts w:ascii="Arial" w:hAnsi="Arial" w:cs="Arial"/>
          <w:sz w:val="18"/>
          <w:szCs w:val="18"/>
          <w:lang w:val="el-GR"/>
        </w:rPr>
        <w:t>.</w:t>
      </w:r>
    </w:p>
    <w:p w:rsidR="006863DD" w:rsidRPr="0075557E" w:rsidRDefault="006863DD" w:rsidP="006863DD">
      <w:pPr>
        <w:pStyle w:val="style1"/>
        <w:tabs>
          <w:tab w:val="left" w:pos="7380"/>
        </w:tabs>
        <w:spacing w:before="0" w:beforeAutospacing="0" w:after="0" w:afterAutospacing="0"/>
        <w:jc w:val="both"/>
        <w:rPr>
          <w:rFonts w:ascii="Arial" w:hAnsi="Arial" w:cs="Arial"/>
          <w:sz w:val="18"/>
          <w:szCs w:val="18"/>
          <w:lang w:val="el-GR"/>
        </w:rPr>
      </w:pPr>
    </w:p>
    <w:p w:rsidR="006863DD" w:rsidRPr="0075557E" w:rsidRDefault="004B478E" w:rsidP="006863DD">
      <w:pPr>
        <w:pStyle w:val="NormalWeb"/>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Τα</w:t>
      </w:r>
      <w:r w:rsidRPr="0075557E">
        <w:rPr>
          <w:rFonts w:ascii="Arial" w:hAnsi="Arial" w:cs="Arial"/>
          <w:b/>
          <w:sz w:val="18"/>
          <w:szCs w:val="18"/>
          <w:lang w:val="el-GR"/>
        </w:rPr>
        <w:t xml:space="preserve"> καθαρά έσοδα (κέρδη) που αποδίδονται στους μετόχους </w:t>
      </w:r>
      <w:r w:rsidRPr="0075557E">
        <w:rPr>
          <w:rFonts w:ascii="Arial" w:hAnsi="Arial" w:cs="Arial"/>
          <w:sz w:val="18"/>
          <w:szCs w:val="18"/>
          <w:lang w:val="el-GR"/>
        </w:rPr>
        <w:t xml:space="preserve">ήταν </w:t>
      </w:r>
      <w:r w:rsidR="006863DD" w:rsidRPr="0075557E">
        <w:rPr>
          <w:rFonts w:ascii="Arial" w:hAnsi="Arial" w:cs="Arial"/>
          <w:sz w:val="18"/>
          <w:szCs w:val="18"/>
          <w:lang w:val="el-GR"/>
        </w:rPr>
        <w:t xml:space="preserve"> </w:t>
      </w:r>
      <w:bookmarkStart w:id="17" w:name="OLE_LINK15"/>
      <w:bookmarkStart w:id="18" w:name="OLE_LINK16"/>
      <w:r w:rsidR="006863DD" w:rsidRPr="0075557E">
        <w:rPr>
          <w:rFonts w:ascii="Arial" w:hAnsi="Arial" w:cs="Arial"/>
          <w:sz w:val="18"/>
          <w:szCs w:val="18"/>
          <w:lang w:val="el-GR"/>
        </w:rPr>
        <w:t>€</w:t>
      </w:r>
      <w:bookmarkEnd w:id="17"/>
      <w:bookmarkEnd w:id="18"/>
      <w:r w:rsidR="00B82A1F" w:rsidRPr="0075557E">
        <w:rPr>
          <w:rFonts w:ascii="Arial" w:hAnsi="Arial" w:cs="Arial"/>
          <w:sz w:val="18"/>
          <w:szCs w:val="18"/>
          <w:lang w:val="el-GR"/>
        </w:rPr>
        <w:t>176</w:t>
      </w:r>
      <w:r w:rsidR="006863DD" w:rsidRPr="0075557E">
        <w:rPr>
          <w:rFonts w:ascii="Arial" w:hAnsi="Arial" w:cs="Arial"/>
          <w:sz w:val="18"/>
          <w:szCs w:val="18"/>
          <w:lang w:val="el-GR"/>
        </w:rPr>
        <w:t xml:space="preserve"> </w:t>
      </w:r>
      <w:r w:rsidRPr="0075557E">
        <w:rPr>
          <w:rFonts w:ascii="Arial" w:hAnsi="Arial" w:cs="Arial"/>
          <w:sz w:val="18"/>
          <w:szCs w:val="18"/>
          <w:lang w:val="el-GR"/>
        </w:rPr>
        <w:t>εκ.</w:t>
      </w:r>
      <w:r w:rsidR="006863DD" w:rsidRPr="0075557E">
        <w:rPr>
          <w:rFonts w:ascii="Arial" w:hAnsi="Arial" w:cs="Arial"/>
          <w:sz w:val="18"/>
          <w:szCs w:val="18"/>
          <w:lang w:val="el-GR"/>
        </w:rPr>
        <w:t xml:space="preserve">, </w:t>
      </w:r>
      <w:r w:rsidRPr="0075557E">
        <w:rPr>
          <w:rFonts w:ascii="Arial" w:hAnsi="Arial" w:cs="Arial"/>
          <w:sz w:val="18"/>
          <w:szCs w:val="18"/>
          <w:lang w:val="el-GR"/>
        </w:rPr>
        <w:t xml:space="preserve">σε σύγκριση με </w:t>
      </w:r>
      <w:r w:rsidR="006863DD" w:rsidRPr="0075557E">
        <w:rPr>
          <w:rFonts w:ascii="Arial" w:hAnsi="Arial" w:cs="Arial"/>
          <w:sz w:val="18"/>
          <w:szCs w:val="18"/>
          <w:lang w:val="el-GR"/>
        </w:rPr>
        <w:t>€</w:t>
      </w:r>
      <w:r w:rsidR="00B82A1F" w:rsidRPr="0075557E">
        <w:rPr>
          <w:rFonts w:ascii="Arial" w:hAnsi="Arial" w:cs="Arial"/>
          <w:sz w:val="18"/>
          <w:szCs w:val="18"/>
          <w:lang w:val="el-GR"/>
        </w:rPr>
        <w:t>174</w:t>
      </w:r>
      <w:r w:rsidR="006863DD" w:rsidRPr="0075557E">
        <w:rPr>
          <w:rFonts w:ascii="Arial" w:hAnsi="Arial" w:cs="Arial"/>
          <w:sz w:val="18"/>
          <w:szCs w:val="18"/>
          <w:lang w:val="el-GR"/>
        </w:rPr>
        <w:t xml:space="preserve"> </w:t>
      </w:r>
      <w:r w:rsidRPr="0075557E">
        <w:rPr>
          <w:rFonts w:ascii="Arial" w:hAnsi="Arial" w:cs="Arial"/>
          <w:sz w:val="18"/>
          <w:szCs w:val="18"/>
          <w:lang w:val="el-GR"/>
        </w:rPr>
        <w:t>εκ. για την ίδια περίοδο του προηγούμενου έτους</w:t>
      </w:r>
      <w:r w:rsidR="006863DD" w:rsidRPr="0075557E">
        <w:rPr>
          <w:rFonts w:ascii="Arial" w:hAnsi="Arial" w:cs="Arial"/>
          <w:sz w:val="18"/>
          <w:szCs w:val="18"/>
          <w:lang w:val="el-GR"/>
        </w:rPr>
        <w:t>.</w:t>
      </w:r>
    </w:p>
    <w:p w:rsidR="006863DD" w:rsidRPr="0075557E" w:rsidRDefault="006863DD" w:rsidP="006863DD">
      <w:pPr>
        <w:pStyle w:val="NormalWeb"/>
        <w:spacing w:before="0" w:beforeAutospacing="0" w:after="0" w:afterAutospacing="0"/>
        <w:jc w:val="both"/>
        <w:rPr>
          <w:rFonts w:ascii="Arial" w:hAnsi="Arial" w:cs="Arial"/>
          <w:sz w:val="18"/>
          <w:szCs w:val="18"/>
          <w:lang w:val="el-GR"/>
        </w:rPr>
      </w:pPr>
    </w:p>
    <w:p w:rsidR="006863DD" w:rsidRPr="0075557E" w:rsidRDefault="004B478E" w:rsidP="004B478E">
      <w:pPr>
        <w:pStyle w:val="NormalWeb"/>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 xml:space="preserve">Τα </w:t>
      </w:r>
      <w:r w:rsidRPr="0075557E">
        <w:rPr>
          <w:rFonts w:ascii="Arial" w:hAnsi="Arial" w:cs="Arial"/>
          <w:b/>
          <w:sz w:val="18"/>
          <w:szCs w:val="18"/>
          <w:lang w:val="el-GR"/>
        </w:rPr>
        <w:t>προσαρμοσμένα κέρδη ανά μετοχή (EPS)</w:t>
      </w:r>
      <w:r w:rsidRPr="0075557E">
        <w:rPr>
          <w:rFonts w:ascii="Arial" w:hAnsi="Arial" w:cs="Arial"/>
          <w:sz w:val="18"/>
          <w:szCs w:val="18"/>
          <w:lang w:val="el-GR"/>
        </w:rPr>
        <w:t xml:space="preserve"> κινήθηκαν στα επίπεδα του προηγούμενου έτους και διαμορφώθηκαν σε  €1,01</w:t>
      </w:r>
      <w:r w:rsidR="00B82A1F" w:rsidRPr="0075557E">
        <w:rPr>
          <w:rFonts w:ascii="Arial" w:hAnsi="Arial" w:cs="Arial"/>
          <w:sz w:val="18"/>
          <w:szCs w:val="18"/>
          <w:lang w:val="el-GR"/>
        </w:rPr>
        <w:t>.</w:t>
      </w:r>
    </w:p>
    <w:p w:rsidR="004B478E" w:rsidRPr="0075557E" w:rsidRDefault="004B478E" w:rsidP="004B478E">
      <w:pPr>
        <w:pStyle w:val="NormalWeb"/>
        <w:spacing w:before="0" w:beforeAutospacing="0" w:after="0" w:afterAutospacing="0"/>
        <w:jc w:val="both"/>
        <w:rPr>
          <w:rFonts w:ascii="Arial" w:hAnsi="Arial" w:cs="Arial"/>
          <w:sz w:val="18"/>
          <w:szCs w:val="18"/>
          <w:lang w:val="el-GR"/>
        </w:rPr>
      </w:pPr>
    </w:p>
    <w:p w:rsidR="006863DD" w:rsidRPr="0075557E" w:rsidRDefault="004B478E" w:rsidP="004B478E">
      <w:pPr>
        <w:pStyle w:val="NormalWeb"/>
        <w:spacing w:before="0" w:beforeAutospacing="0" w:after="0" w:afterAutospacing="0"/>
        <w:jc w:val="both"/>
        <w:rPr>
          <w:rFonts w:ascii="Arial" w:hAnsi="Arial" w:cs="Arial"/>
          <w:sz w:val="18"/>
          <w:szCs w:val="18"/>
          <w:lang w:val="el-GR"/>
        </w:rPr>
      </w:pPr>
      <w:r w:rsidRPr="0075557E">
        <w:rPr>
          <w:rFonts w:ascii="Arial" w:hAnsi="Arial" w:cs="Arial"/>
          <w:sz w:val="18"/>
          <w:szCs w:val="18"/>
          <w:lang w:val="el-GR"/>
        </w:rPr>
        <w:t>Οι</w:t>
      </w:r>
      <w:r w:rsidRPr="0075557E">
        <w:rPr>
          <w:rFonts w:ascii="Arial" w:hAnsi="Arial" w:cs="Arial"/>
          <w:b/>
          <w:sz w:val="18"/>
          <w:szCs w:val="18"/>
          <w:lang w:val="el-GR"/>
        </w:rPr>
        <w:t xml:space="preserve"> ταμειακές ροές από λειτουργικές δραστηριότητες (Cash from Operations)</w:t>
      </w:r>
      <w:r w:rsidRPr="0075557E">
        <w:rPr>
          <w:rFonts w:ascii="Arial" w:hAnsi="Arial" w:cs="Arial"/>
          <w:sz w:val="18"/>
          <w:szCs w:val="18"/>
          <w:lang w:val="el-GR"/>
        </w:rPr>
        <w:t xml:space="preserve"> ανήλθαν </w:t>
      </w:r>
      <w:r w:rsidR="00AC65A1">
        <w:rPr>
          <w:rFonts w:ascii="Arial" w:hAnsi="Arial" w:cs="Arial"/>
          <w:sz w:val="18"/>
          <w:szCs w:val="18"/>
          <w:lang w:val="el-GR"/>
        </w:rPr>
        <w:t xml:space="preserve">αυξημένες </w:t>
      </w:r>
      <w:r w:rsidRPr="0075557E">
        <w:rPr>
          <w:rFonts w:ascii="Arial" w:hAnsi="Arial" w:cs="Arial"/>
          <w:sz w:val="18"/>
          <w:szCs w:val="18"/>
          <w:lang w:val="el-GR"/>
        </w:rPr>
        <w:t>σε €641 εκ. έναντι €497 εκ. για το εννεάμηνο του 2013, κυρίως εξαιτίας μεταβολών στο κεφάλαιο εργασίας</w:t>
      </w:r>
      <w:r w:rsidR="00D42D1C" w:rsidRPr="0075557E">
        <w:rPr>
          <w:rFonts w:ascii="Arial" w:hAnsi="Arial" w:cs="Arial"/>
          <w:sz w:val="18"/>
          <w:szCs w:val="18"/>
          <w:lang w:val="el-GR"/>
        </w:rPr>
        <w:t>.</w:t>
      </w:r>
    </w:p>
    <w:p w:rsidR="00913D10" w:rsidRPr="0075557E" w:rsidRDefault="00913D10" w:rsidP="00913D10">
      <w:pPr>
        <w:pStyle w:val="style1"/>
        <w:spacing w:before="0" w:beforeAutospacing="0" w:after="0" w:afterAutospacing="0"/>
        <w:jc w:val="both"/>
        <w:rPr>
          <w:rFonts w:ascii="Arial" w:hAnsi="Arial" w:cs="Arial"/>
          <w:sz w:val="18"/>
          <w:szCs w:val="18"/>
          <w:lang w:val="el-GR"/>
        </w:rPr>
      </w:pPr>
      <w:bookmarkStart w:id="19" w:name="OLE_LINK33"/>
      <w:bookmarkStart w:id="20" w:name="OLE_LINK34"/>
      <w:bookmarkEnd w:id="15"/>
      <w:bookmarkEnd w:id="16"/>
    </w:p>
    <w:bookmarkEnd w:id="19"/>
    <w:bookmarkEnd w:id="20"/>
    <w:p w:rsidR="006D3378" w:rsidRPr="0075557E" w:rsidRDefault="004B478E" w:rsidP="006D3378">
      <w:pPr>
        <w:rPr>
          <w:rFonts w:ascii="Arial" w:hAnsi="Arial" w:cs="Arial"/>
          <w:sz w:val="18"/>
          <w:szCs w:val="18"/>
          <w:lang w:val="el-GR"/>
        </w:rPr>
      </w:pPr>
      <w:r w:rsidRPr="0075557E">
        <w:rPr>
          <w:rFonts w:ascii="Arial" w:hAnsi="Arial" w:cs="Arial"/>
          <w:bCs/>
          <w:sz w:val="18"/>
          <w:szCs w:val="18"/>
          <w:lang w:val="el-GR"/>
        </w:rPr>
        <w:t xml:space="preserve">Οι </w:t>
      </w:r>
      <w:r w:rsidRPr="0075557E">
        <w:rPr>
          <w:rFonts w:ascii="Arial" w:hAnsi="Arial" w:cs="Arial"/>
          <w:b/>
          <w:bCs/>
          <w:sz w:val="18"/>
          <w:szCs w:val="18"/>
          <w:lang w:val="el-GR"/>
        </w:rPr>
        <w:t>κεφαλαιακές δαπάνες (Capital Expenditures)</w:t>
      </w:r>
      <w:r w:rsidRPr="0075557E">
        <w:rPr>
          <w:rFonts w:ascii="Arial" w:hAnsi="Arial" w:cs="Arial"/>
          <w:bCs/>
          <w:sz w:val="18"/>
          <w:szCs w:val="18"/>
          <w:lang w:val="el-GR"/>
        </w:rPr>
        <w:t xml:space="preserve"> για το πρώτο εννεάμηνο ανήλθαν σε €188 εκ., ποσό στο οποίο περιλαμβάν</w:t>
      </w:r>
      <w:r w:rsidR="00C3517B">
        <w:rPr>
          <w:rFonts w:ascii="Arial" w:hAnsi="Arial" w:cs="Arial"/>
          <w:bCs/>
          <w:sz w:val="18"/>
          <w:szCs w:val="18"/>
          <w:lang w:val="el-GR"/>
        </w:rPr>
        <w:t>ε</w:t>
      </w:r>
      <w:r w:rsidRPr="0075557E">
        <w:rPr>
          <w:rFonts w:ascii="Arial" w:hAnsi="Arial" w:cs="Arial"/>
          <w:bCs/>
          <w:sz w:val="18"/>
          <w:szCs w:val="18"/>
          <w:lang w:val="el-GR"/>
        </w:rPr>
        <w:t>ται η επένδυση</w:t>
      </w:r>
      <w:r w:rsidR="00C3517B">
        <w:rPr>
          <w:rFonts w:ascii="Arial" w:hAnsi="Arial" w:cs="Arial"/>
          <w:bCs/>
          <w:sz w:val="18"/>
          <w:szCs w:val="18"/>
          <w:lang w:val="el-GR"/>
        </w:rPr>
        <w:t xml:space="preserve"> της</w:t>
      </w:r>
      <w:r w:rsidRPr="0075557E">
        <w:rPr>
          <w:rFonts w:ascii="Arial" w:hAnsi="Arial" w:cs="Arial"/>
          <w:bCs/>
          <w:sz w:val="18"/>
          <w:szCs w:val="18"/>
          <w:lang w:val="el-GR"/>
        </w:rPr>
        <w:t xml:space="preserve"> Probability Plc, για την οποία έχει γίνει αναφορά σε προηγούμενες περιόδους, καθώς και οι επενδύσεις σε Λοταρίες της Β. και Ν Αμερικής και στις σειρές προϊόντων Παιγνιομηχανιών και Μηχανών Λοταρίας της Ιταλίας.</w:t>
      </w:r>
    </w:p>
    <w:p w:rsidR="006D3378" w:rsidRPr="0075557E" w:rsidRDefault="006D3378" w:rsidP="006D3378">
      <w:pPr>
        <w:pStyle w:val="PlainText"/>
        <w:jc w:val="both"/>
        <w:rPr>
          <w:rFonts w:ascii="Arial" w:hAnsi="Arial" w:cs="Arial"/>
          <w:sz w:val="18"/>
          <w:szCs w:val="18"/>
          <w:lang w:val="el-GR"/>
        </w:rPr>
      </w:pPr>
    </w:p>
    <w:p w:rsidR="006D3378" w:rsidRPr="0075557E" w:rsidRDefault="00391DED" w:rsidP="006D3378">
      <w:pPr>
        <w:pStyle w:val="style1"/>
        <w:tabs>
          <w:tab w:val="left" w:pos="8280"/>
        </w:tabs>
        <w:jc w:val="both"/>
        <w:rPr>
          <w:rFonts w:ascii="Arial" w:hAnsi="Arial" w:cs="Arial"/>
          <w:b/>
          <w:sz w:val="18"/>
          <w:szCs w:val="18"/>
          <w:lang w:val="el-GR"/>
        </w:rPr>
      </w:pPr>
      <w:r w:rsidRPr="0075557E">
        <w:rPr>
          <w:rFonts w:ascii="Arial" w:hAnsi="Arial" w:cs="Arial"/>
          <w:b/>
          <w:sz w:val="18"/>
          <w:szCs w:val="18"/>
          <w:lang w:val="el-GR"/>
        </w:rPr>
        <w:t>Συμπληρωματικές Πληροφορίες</w:t>
      </w:r>
    </w:p>
    <w:p w:rsidR="00B76E66" w:rsidRPr="0075557E" w:rsidRDefault="00F658D0" w:rsidP="0075557E">
      <w:pPr>
        <w:jc w:val="both"/>
        <w:rPr>
          <w:rFonts w:ascii="Arial" w:hAnsi="Arial" w:cs="Arial"/>
          <w:sz w:val="18"/>
          <w:szCs w:val="18"/>
          <w:lang w:val="el-GR"/>
        </w:rPr>
      </w:pPr>
      <w:r w:rsidRPr="0075557E">
        <w:rPr>
          <w:rFonts w:ascii="Arial" w:hAnsi="Arial" w:cs="Arial"/>
          <w:sz w:val="18"/>
          <w:szCs w:val="18"/>
          <w:lang w:val="el-GR"/>
        </w:rPr>
        <w:t>Σε συνέχεια της έγκρισης των μετόχων, κατά τη Συνέλευση η οποία πραγματοποιήθηκε στις 4 Νοεμβρίου,</w:t>
      </w:r>
      <w:r w:rsidR="00C3517B">
        <w:rPr>
          <w:rFonts w:ascii="Arial" w:hAnsi="Arial" w:cs="Arial"/>
          <w:sz w:val="18"/>
          <w:szCs w:val="18"/>
          <w:lang w:val="el-GR"/>
        </w:rPr>
        <w:t xml:space="preserve"> για τη διασυνοριακή</w:t>
      </w:r>
      <w:r w:rsidRPr="0075557E">
        <w:rPr>
          <w:rFonts w:ascii="Arial" w:hAnsi="Arial" w:cs="Arial"/>
          <w:sz w:val="18"/>
          <w:szCs w:val="18"/>
          <w:lang w:val="el-GR"/>
        </w:rPr>
        <w:t xml:space="preserve"> συγχώνευση της GTECH S.p.A. με την Georgia Worldwide PLC, οι μέτοχοι της </w:t>
      </w:r>
      <w:r w:rsidR="00B76E66" w:rsidRPr="0075557E">
        <w:rPr>
          <w:rFonts w:ascii="Arial" w:hAnsi="Arial" w:cs="Arial"/>
          <w:sz w:val="18"/>
          <w:szCs w:val="18"/>
          <w:lang w:val="el-GR"/>
        </w:rPr>
        <w:t xml:space="preserve">GTECH </w:t>
      </w:r>
      <w:r w:rsidRPr="0075557E">
        <w:rPr>
          <w:rFonts w:ascii="Arial" w:hAnsi="Arial" w:cs="Arial"/>
          <w:sz w:val="18"/>
          <w:szCs w:val="18"/>
          <w:lang w:val="el-GR"/>
        </w:rPr>
        <w:t>οι οποίο</w:t>
      </w:r>
      <w:r w:rsidR="00EA6BA7" w:rsidRPr="0075557E">
        <w:rPr>
          <w:rFonts w:ascii="Arial" w:hAnsi="Arial" w:cs="Arial"/>
          <w:sz w:val="18"/>
          <w:szCs w:val="18"/>
          <w:lang w:val="el-GR"/>
        </w:rPr>
        <w:t>ι</w:t>
      </w:r>
      <w:r w:rsidRPr="0075557E">
        <w:rPr>
          <w:rFonts w:ascii="Arial" w:hAnsi="Arial" w:cs="Arial"/>
          <w:sz w:val="18"/>
          <w:szCs w:val="18"/>
          <w:lang w:val="el-GR"/>
        </w:rPr>
        <w:t xml:space="preserve"> δεν ψήφισαν υπέρ της συγχώνευσης δικαιούνται να ασκήσουν δικαιώματα εξόδου </w:t>
      </w:r>
      <w:r w:rsidR="0075557E" w:rsidRPr="0075557E">
        <w:rPr>
          <w:rFonts w:ascii="Arial" w:hAnsi="Arial" w:cs="Arial"/>
          <w:sz w:val="18"/>
          <w:szCs w:val="18"/>
          <w:lang w:val="el-GR"/>
        </w:rPr>
        <w:t xml:space="preserve">με καταβολή μετρητών. </w:t>
      </w:r>
      <w:r w:rsidRPr="0075557E">
        <w:rPr>
          <w:rFonts w:ascii="Arial" w:hAnsi="Arial" w:cs="Arial"/>
          <w:sz w:val="18"/>
          <w:szCs w:val="18"/>
          <w:lang w:val="el-GR"/>
        </w:rPr>
        <w:t>Σε περίπτωση κατά την οποία η GTECH αποφασίσει την καταβολή οποιωνδήποτε μερισμάτων, οποιουδήποτε είδους, σε συνέχει</w:t>
      </w:r>
      <w:r w:rsidR="0075557E" w:rsidRPr="0075557E">
        <w:rPr>
          <w:rFonts w:ascii="Arial" w:hAnsi="Arial" w:cs="Arial"/>
          <w:sz w:val="18"/>
          <w:szCs w:val="18"/>
          <w:lang w:val="el-GR"/>
        </w:rPr>
        <w:t>α</w:t>
      </w:r>
      <w:r w:rsidRPr="0075557E">
        <w:rPr>
          <w:rFonts w:ascii="Arial" w:hAnsi="Arial" w:cs="Arial"/>
          <w:sz w:val="18"/>
          <w:szCs w:val="18"/>
          <w:lang w:val="el-GR"/>
        </w:rPr>
        <w:t xml:space="preserve"> της άσκησης των δικαιωμάτων </w:t>
      </w:r>
      <w:r w:rsidR="0075557E" w:rsidRPr="0075557E">
        <w:rPr>
          <w:rFonts w:ascii="Arial" w:hAnsi="Arial" w:cs="Arial"/>
          <w:sz w:val="18"/>
          <w:szCs w:val="18"/>
          <w:lang w:val="el-GR"/>
        </w:rPr>
        <w:t xml:space="preserve">εξόδου με καταβολή μετρητών, </w:t>
      </w:r>
      <w:r w:rsidRPr="0075557E">
        <w:rPr>
          <w:rFonts w:ascii="Arial" w:hAnsi="Arial" w:cs="Arial"/>
          <w:sz w:val="18"/>
          <w:szCs w:val="18"/>
          <w:lang w:val="el-GR"/>
        </w:rPr>
        <w:t xml:space="preserve">οι μέτοχοι οι οποίοι θα ασκήσουν δικαιώματα </w:t>
      </w:r>
      <w:r w:rsidR="0075557E" w:rsidRPr="0075557E">
        <w:rPr>
          <w:rFonts w:ascii="Arial" w:hAnsi="Arial" w:cs="Arial"/>
          <w:sz w:val="18"/>
          <w:szCs w:val="18"/>
          <w:lang w:val="el-GR"/>
        </w:rPr>
        <w:t xml:space="preserve">εξόδου με καταβολή μετρητών </w:t>
      </w:r>
      <w:r w:rsidRPr="0075557E">
        <w:rPr>
          <w:rFonts w:ascii="Arial" w:hAnsi="Arial" w:cs="Arial"/>
          <w:sz w:val="18"/>
          <w:szCs w:val="18"/>
          <w:lang w:val="el-GR"/>
        </w:rPr>
        <w:t>δεν θα δικαιούνται να λάβουν τα εν λόγω μερίσματα.</w:t>
      </w:r>
    </w:p>
    <w:p w:rsidR="009024EF" w:rsidRPr="0075557E" w:rsidRDefault="009024EF" w:rsidP="009024EF">
      <w:pPr>
        <w:rPr>
          <w:rFonts w:ascii="Arial" w:hAnsi="Arial" w:cs="Arial"/>
          <w:sz w:val="18"/>
          <w:szCs w:val="18"/>
          <w:highlight w:val="yellow"/>
          <w:lang w:val="el-GR"/>
        </w:rPr>
      </w:pPr>
    </w:p>
    <w:p w:rsidR="002E53E3" w:rsidRPr="0075557E" w:rsidRDefault="00391DED" w:rsidP="002E5E27">
      <w:pPr>
        <w:rPr>
          <w:rFonts w:ascii="Arial" w:hAnsi="Arial" w:cs="Arial"/>
          <w:sz w:val="18"/>
          <w:szCs w:val="18"/>
          <w:lang w:val="el-GR"/>
        </w:rPr>
      </w:pPr>
      <w:r w:rsidRPr="0075557E">
        <w:rPr>
          <w:rFonts w:ascii="Arial" w:hAnsi="Arial" w:cs="Arial"/>
          <w:sz w:val="18"/>
          <w:szCs w:val="18"/>
          <w:lang w:val="el-GR"/>
        </w:rPr>
        <w:t>Σχετικά Δελτία Τύπου</w:t>
      </w:r>
      <w:r w:rsidR="002E5E27" w:rsidRPr="0075557E">
        <w:rPr>
          <w:rFonts w:ascii="Arial" w:hAnsi="Arial" w:cs="Arial"/>
          <w:sz w:val="18"/>
          <w:szCs w:val="18"/>
          <w:lang w:val="el-GR"/>
        </w:rPr>
        <w:t xml:space="preserve">: </w:t>
      </w:r>
      <w:r w:rsidRPr="0075557E">
        <w:rPr>
          <w:rFonts w:ascii="Arial" w:hAnsi="Arial" w:cs="Arial"/>
          <w:sz w:val="18"/>
          <w:szCs w:val="18"/>
          <w:lang w:val="el-GR"/>
        </w:rPr>
        <w:t>16 Ιουλίου</w:t>
      </w:r>
      <w:r w:rsidR="002E5E27" w:rsidRPr="0075557E">
        <w:rPr>
          <w:rFonts w:ascii="Arial" w:hAnsi="Arial" w:cs="Arial"/>
          <w:sz w:val="18"/>
          <w:szCs w:val="18"/>
          <w:lang w:val="el-GR"/>
        </w:rPr>
        <w:t xml:space="preserve">, </w:t>
      </w:r>
      <w:r w:rsidRPr="0075557E">
        <w:rPr>
          <w:rFonts w:ascii="Arial" w:hAnsi="Arial" w:cs="Arial"/>
          <w:sz w:val="18"/>
          <w:szCs w:val="18"/>
          <w:lang w:val="el-GR"/>
        </w:rPr>
        <w:t>20 Αυγούστου</w:t>
      </w:r>
      <w:r w:rsidR="002E5E27" w:rsidRPr="0075557E">
        <w:rPr>
          <w:rFonts w:ascii="Arial" w:hAnsi="Arial" w:cs="Arial"/>
          <w:sz w:val="18"/>
          <w:szCs w:val="18"/>
          <w:lang w:val="el-GR"/>
        </w:rPr>
        <w:t xml:space="preserve">, </w:t>
      </w:r>
      <w:r w:rsidRPr="0075557E">
        <w:rPr>
          <w:rFonts w:ascii="Arial" w:hAnsi="Arial" w:cs="Arial"/>
          <w:sz w:val="18"/>
          <w:szCs w:val="18"/>
          <w:lang w:val="el-GR"/>
        </w:rPr>
        <w:t>23 Σεπτεμβρίου, 30 Οκτωβρίου, 4 και 5 Νοεμβρίου 2014.</w:t>
      </w:r>
    </w:p>
    <w:p w:rsidR="006863DD" w:rsidRPr="0075557E" w:rsidRDefault="00391DED" w:rsidP="006863DD">
      <w:pPr>
        <w:pStyle w:val="style1"/>
        <w:jc w:val="both"/>
        <w:rPr>
          <w:rFonts w:ascii="Arial" w:hAnsi="Arial" w:cs="Arial"/>
          <w:sz w:val="18"/>
          <w:szCs w:val="18"/>
          <w:lang w:val="el-GR"/>
        </w:rPr>
      </w:pPr>
      <w:r w:rsidRPr="0075557E">
        <w:rPr>
          <w:rStyle w:val="Emphasis"/>
          <w:rFonts w:ascii="Arial" w:hAnsi="Arial" w:cs="Arial"/>
          <w:b/>
          <w:bCs/>
          <w:sz w:val="18"/>
          <w:szCs w:val="18"/>
          <w:lang w:val="el-GR"/>
        </w:rPr>
        <w:t>Δήλωση</w:t>
      </w:r>
      <w:r w:rsidR="006863DD" w:rsidRPr="0075557E">
        <w:rPr>
          <w:rStyle w:val="Emphasis"/>
          <w:rFonts w:ascii="Arial" w:hAnsi="Arial" w:cs="Arial"/>
          <w:b/>
          <w:bCs/>
          <w:sz w:val="18"/>
          <w:szCs w:val="18"/>
          <w:lang w:val="el-GR"/>
        </w:rPr>
        <w:t xml:space="preserve"> </w:t>
      </w:r>
    </w:p>
    <w:p w:rsidR="00391DED" w:rsidRPr="0075557E" w:rsidRDefault="00391DED" w:rsidP="00391DED">
      <w:pPr>
        <w:jc w:val="both"/>
        <w:rPr>
          <w:rStyle w:val="Emphasis"/>
          <w:rFonts w:ascii="Verdana" w:hAnsi="Verdana"/>
          <w:sz w:val="16"/>
          <w:szCs w:val="16"/>
          <w:lang w:val="el-GR"/>
        </w:rPr>
      </w:pPr>
      <w:r w:rsidRPr="0075557E">
        <w:rPr>
          <w:rStyle w:val="Emphasis"/>
          <w:rFonts w:ascii="Verdana" w:hAnsi="Verdana"/>
          <w:sz w:val="16"/>
          <w:szCs w:val="16"/>
          <w:lang w:val="el-GR"/>
        </w:rPr>
        <w:t>Ο υπεύθυνος για τη σύνταξη των οικονομικών εκθέσεων της GTECH, Alberto Fornaro, δηλώνει, σύμφωνα με την παράγραφο 2 του Άρθρου 154-bis του Κωδικοποιημένου Νόμου περί των Οικονομικών, ότι οι λογιστικές πληροφορίες που περιέχονται στο παρόν Δελτίο Τύπου ανταποκρίνονται στα έγγραφα αποτελέσματα και στα τηρούμενα λογιστικά βιβλία και αρχεία.</w:t>
      </w:r>
    </w:p>
    <w:p w:rsidR="00391DED" w:rsidRPr="0075557E" w:rsidRDefault="00391DED" w:rsidP="00391DED">
      <w:pPr>
        <w:jc w:val="both"/>
        <w:rPr>
          <w:i/>
          <w:iCs/>
          <w:sz w:val="16"/>
          <w:szCs w:val="16"/>
          <w:lang w:val="el-GR"/>
        </w:rPr>
      </w:pPr>
    </w:p>
    <w:p w:rsidR="00391DED" w:rsidRPr="0075557E" w:rsidRDefault="00391DED" w:rsidP="00391DED">
      <w:pPr>
        <w:pStyle w:val="style6"/>
        <w:spacing w:before="0" w:beforeAutospacing="0" w:after="0" w:afterAutospacing="0"/>
        <w:jc w:val="both"/>
        <w:rPr>
          <w:b w:val="0"/>
          <w:i/>
          <w:iCs/>
          <w:sz w:val="16"/>
          <w:szCs w:val="16"/>
          <w:lang w:val="el-GR"/>
        </w:rPr>
      </w:pPr>
      <w:r w:rsidRPr="0075557E">
        <w:rPr>
          <w:rFonts w:cs="Courier New"/>
          <w:b w:val="0"/>
          <w:i/>
          <w:sz w:val="16"/>
          <w:szCs w:val="16"/>
          <w:lang w:val="el-GR"/>
        </w:rPr>
        <w:t xml:space="preserve">Η GTECH S.p.A. κατέχει ηγετική θέση στις οργανωμένες αγορές παιγνίων ολόκληρου του κόσμου ως φορέας εμπορικής εκμετάλλευσης και προμηθευτής τεχνολογίας, προσφέροντας προϊόντα και υπηρεσίες που είναι κορυφαία στην κατηγορία τους και παραμένοντας δεσμευμένη στα υψηλότερα δυνατά επίπεδα ακεραιότητας, ευθύνης και δημιουργίας αξίας για τους μετόχους. Η Εταιρεία είναι εισηγμένη στο </w:t>
      </w:r>
      <w:r w:rsidR="006D14DD" w:rsidRPr="0075557E">
        <w:rPr>
          <w:rFonts w:cs="Courier New"/>
          <w:b w:val="0"/>
          <w:i/>
          <w:sz w:val="16"/>
          <w:szCs w:val="16"/>
          <w:lang w:val="el-GR"/>
        </w:rPr>
        <w:t xml:space="preserve">Ιταλικό Χρηματιστήριο (όπου και συμμετέχει στον δείκτη FTSE MIB) </w:t>
      </w:r>
      <w:r w:rsidRPr="0075557E">
        <w:rPr>
          <w:rFonts w:cs="Courier New"/>
          <w:b w:val="0"/>
          <w:i/>
          <w:sz w:val="16"/>
          <w:szCs w:val="16"/>
          <w:lang w:val="el-GR"/>
        </w:rPr>
        <w:t xml:space="preserve">με κωδικό «GTK» και ελέγχεται κατά πλειοψηφία από την De Agostini S.p.A. Το 2013, η GTECH κατέγραψε έσοδα €3,1 δισ. και απασχολούσε 8.600 εργαζομένους σε 60 περίπου χώρες. Περισσότερες πληροφορίες είναι διαθέσιμες από την ιστοσελίδα της εταιρείας, στη διεύθυνση: </w:t>
      </w:r>
      <w:hyperlink r:id="rId9" w:history="1">
        <w:r w:rsidRPr="0075557E">
          <w:rPr>
            <w:rStyle w:val="Hyperlink"/>
            <w:rFonts w:cs="Courier New"/>
            <w:i/>
            <w:sz w:val="16"/>
            <w:szCs w:val="16"/>
            <w:lang w:val="el-GR"/>
          </w:rPr>
          <w:t>www.gtech.com</w:t>
        </w:r>
      </w:hyperlink>
      <w:r w:rsidRPr="0075557E">
        <w:rPr>
          <w:b w:val="0"/>
          <w:i/>
          <w:iCs/>
          <w:sz w:val="16"/>
          <w:szCs w:val="16"/>
          <w:lang w:val="el-GR"/>
        </w:rPr>
        <w:t>.</w:t>
      </w:r>
    </w:p>
    <w:p w:rsidR="00391DED" w:rsidRPr="0075557E" w:rsidRDefault="00391DED" w:rsidP="00C3517B">
      <w:pPr>
        <w:pStyle w:val="style6"/>
        <w:spacing w:before="0" w:beforeAutospacing="0" w:after="0" w:afterAutospacing="0"/>
        <w:jc w:val="both"/>
        <w:rPr>
          <w:sz w:val="18"/>
          <w:szCs w:val="18"/>
          <w:lang w:val="el-GR"/>
        </w:rPr>
      </w:pPr>
      <w:r w:rsidRPr="0075557E">
        <w:rPr>
          <w:rFonts w:cs="Courier New"/>
          <w:b w:val="0"/>
          <w:i/>
          <w:sz w:val="16"/>
          <w:szCs w:val="16"/>
          <w:lang w:val="el-GR"/>
        </w:rPr>
        <w:t xml:space="preserve"> </w:t>
      </w:r>
    </w:p>
    <w:p w:rsidR="00391DED" w:rsidRPr="0075557E" w:rsidRDefault="00391DED" w:rsidP="00391DED">
      <w:pPr>
        <w:jc w:val="center"/>
        <w:rPr>
          <w:rStyle w:val="Emphasis"/>
          <w:rFonts w:ascii="Verdana" w:hAnsi="Verdana" w:cs="Arial"/>
          <w:sz w:val="18"/>
          <w:szCs w:val="18"/>
          <w:lang w:val="el-GR"/>
        </w:rPr>
      </w:pPr>
      <w:r w:rsidRPr="0075557E">
        <w:rPr>
          <w:rStyle w:val="Emphasis"/>
          <w:rFonts w:ascii="Verdana" w:hAnsi="Verdana" w:cs="Arial"/>
          <w:sz w:val="18"/>
          <w:szCs w:val="18"/>
          <w:lang w:val="el-GR"/>
        </w:rPr>
        <w:t>Επιπρόσθετες πληροφορίες:</w:t>
      </w:r>
    </w:p>
    <w:p w:rsidR="00391DED" w:rsidRPr="0075557E" w:rsidRDefault="00391DED" w:rsidP="00391DED">
      <w:pPr>
        <w:ind w:firstLine="360"/>
        <w:jc w:val="center"/>
        <w:rPr>
          <w:rStyle w:val="Emphasis"/>
          <w:rFonts w:ascii="Verdana" w:hAnsi="Verdana" w:cs="Arial"/>
          <w:sz w:val="18"/>
          <w:szCs w:val="18"/>
          <w:lang w:val="el-G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91DED" w:rsidRPr="0075557E" w:rsidTr="00040E53">
        <w:trPr>
          <w:jc w:val="center"/>
        </w:trPr>
        <w:tc>
          <w:tcPr>
            <w:tcW w:w="4428" w:type="dxa"/>
          </w:tcPr>
          <w:p w:rsidR="00391DED" w:rsidRPr="000A2E5C" w:rsidRDefault="00391DED" w:rsidP="00040E53">
            <w:pPr>
              <w:jc w:val="center"/>
              <w:rPr>
                <w:rFonts w:ascii="Verdana" w:hAnsi="Verdana" w:cs="Verdana"/>
                <w:b/>
                <w:bCs/>
                <w:color w:val="000000"/>
                <w:sz w:val="18"/>
                <w:szCs w:val="18"/>
                <w:lang w:eastAsia="it-IT"/>
              </w:rPr>
            </w:pPr>
            <w:r w:rsidRPr="000A2E5C">
              <w:rPr>
                <w:rFonts w:ascii="Verdana" w:hAnsi="Verdana" w:cs="Verdana"/>
                <w:b/>
                <w:bCs/>
                <w:color w:val="000000"/>
                <w:sz w:val="18"/>
                <w:szCs w:val="18"/>
                <w:lang w:eastAsia="it-IT"/>
              </w:rPr>
              <w:t>Robert K. Vincent</w:t>
            </w:r>
          </w:p>
          <w:p w:rsidR="00391DED" w:rsidRPr="000A2E5C" w:rsidRDefault="00391DED" w:rsidP="00040E53">
            <w:pPr>
              <w:jc w:val="center"/>
              <w:rPr>
                <w:rFonts w:ascii="Verdana" w:hAnsi="Verdana" w:cs="Verdana"/>
                <w:i/>
                <w:iCs/>
                <w:color w:val="000000"/>
                <w:sz w:val="18"/>
                <w:szCs w:val="18"/>
                <w:lang w:eastAsia="it-IT"/>
              </w:rPr>
            </w:pPr>
            <w:r w:rsidRPr="000A2E5C">
              <w:rPr>
                <w:rFonts w:ascii="Verdana" w:hAnsi="Verdana" w:cs="Verdana"/>
                <w:i/>
                <w:iCs/>
                <w:color w:val="000000"/>
                <w:sz w:val="18"/>
                <w:szCs w:val="18"/>
                <w:lang w:eastAsia="it-IT"/>
              </w:rPr>
              <w:t>GTECH S.p.A.</w:t>
            </w:r>
          </w:p>
          <w:p w:rsidR="00391DED" w:rsidRPr="0075557E" w:rsidRDefault="00391DED" w:rsidP="00040E53">
            <w:pPr>
              <w:jc w:val="center"/>
              <w:rPr>
                <w:rFonts w:ascii="Verdana" w:hAnsi="Verdana" w:cs="Verdana"/>
                <w:i/>
                <w:iCs/>
                <w:color w:val="000000"/>
                <w:sz w:val="18"/>
                <w:szCs w:val="18"/>
                <w:lang w:val="el-GR" w:eastAsia="it-IT"/>
              </w:rPr>
            </w:pPr>
            <w:r w:rsidRPr="0075557E">
              <w:rPr>
                <w:rFonts w:ascii="Verdana" w:hAnsi="Verdana" w:cs="Verdana"/>
                <w:i/>
                <w:iCs/>
                <w:color w:val="000000"/>
                <w:sz w:val="18"/>
                <w:szCs w:val="18"/>
                <w:lang w:val="el-GR" w:eastAsia="it-IT"/>
              </w:rPr>
              <w:t>Corporate Communications</w:t>
            </w:r>
          </w:p>
          <w:p w:rsidR="00391DED" w:rsidRPr="0075557E" w:rsidRDefault="00391DED" w:rsidP="00040E53">
            <w:pPr>
              <w:jc w:val="center"/>
              <w:rPr>
                <w:rStyle w:val="Emphasis"/>
                <w:rFonts w:ascii="Verdana" w:hAnsi="Verdana" w:cs="Arial"/>
                <w:sz w:val="18"/>
                <w:szCs w:val="18"/>
                <w:lang w:val="el-GR"/>
              </w:rPr>
            </w:pPr>
            <w:r w:rsidRPr="0075557E">
              <w:rPr>
                <w:rFonts w:ascii="Verdana" w:hAnsi="Verdana" w:cs="Verdana"/>
                <w:i/>
                <w:iCs/>
                <w:color w:val="000000"/>
                <w:sz w:val="18"/>
                <w:szCs w:val="18"/>
                <w:lang w:val="el-GR" w:eastAsia="it-IT"/>
              </w:rPr>
              <w:t>T. (+1) 401 392 7452</w:t>
            </w:r>
          </w:p>
        </w:tc>
        <w:tc>
          <w:tcPr>
            <w:tcW w:w="4428" w:type="dxa"/>
          </w:tcPr>
          <w:p w:rsidR="00391DED" w:rsidRPr="00E53925" w:rsidRDefault="00391DED" w:rsidP="00040E53">
            <w:pPr>
              <w:jc w:val="center"/>
              <w:rPr>
                <w:rFonts w:ascii="Verdana" w:hAnsi="Verdana" w:cs="Verdana"/>
                <w:b/>
                <w:bCs/>
                <w:color w:val="000000"/>
                <w:sz w:val="18"/>
                <w:szCs w:val="18"/>
                <w:lang w:val="it-IT" w:eastAsia="it-IT"/>
              </w:rPr>
            </w:pPr>
            <w:r w:rsidRPr="00E53925">
              <w:rPr>
                <w:rFonts w:ascii="Verdana" w:hAnsi="Verdana" w:cs="Verdana"/>
                <w:b/>
                <w:bCs/>
                <w:color w:val="000000"/>
                <w:sz w:val="18"/>
                <w:szCs w:val="18"/>
                <w:lang w:val="it-IT" w:eastAsia="it-IT"/>
              </w:rPr>
              <w:t>Simone Cantagallo</w:t>
            </w:r>
          </w:p>
          <w:p w:rsidR="00391DED" w:rsidRPr="00E53925" w:rsidRDefault="00391DED" w:rsidP="00040E53">
            <w:pPr>
              <w:jc w:val="center"/>
              <w:rPr>
                <w:rFonts w:ascii="Verdana" w:hAnsi="Verdana" w:cs="Verdana"/>
                <w:i/>
                <w:iCs/>
                <w:color w:val="000000"/>
                <w:sz w:val="18"/>
                <w:szCs w:val="18"/>
                <w:lang w:val="it-IT" w:eastAsia="it-IT"/>
              </w:rPr>
            </w:pPr>
            <w:r w:rsidRPr="00E53925">
              <w:rPr>
                <w:rFonts w:ascii="Verdana" w:hAnsi="Verdana" w:cs="Verdana"/>
                <w:i/>
                <w:iCs/>
                <w:color w:val="000000"/>
                <w:sz w:val="18"/>
                <w:szCs w:val="18"/>
                <w:lang w:val="it-IT" w:eastAsia="it-IT"/>
              </w:rPr>
              <w:t>GTECH S.p.A.</w:t>
            </w:r>
          </w:p>
          <w:p w:rsidR="00391DED" w:rsidRPr="0075557E" w:rsidRDefault="00391DED" w:rsidP="00040E53">
            <w:pPr>
              <w:jc w:val="center"/>
              <w:rPr>
                <w:rFonts w:ascii="Verdana" w:hAnsi="Verdana" w:cs="Verdana"/>
                <w:i/>
                <w:iCs/>
                <w:color w:val="000000"/>
                <w:sz w:val="18"/>
                <w:szCs w:val="18"/>
                <w:lang w:val="el-GR" w:eastAsia="it-IT"/>
              </w:rPr>
            </w:pPr>
            <w:r w:rsidRPr="0075557E">
              <w:rPr>
                <w:rFonts w:ascii="Verdana" w:hAnsi="Verdana" w:cs="Verdana"/>
                <w:i/>
                <w:iCs/>
                <w:color w:val="000000"/>
                <w:sz w:val="18"/>
                <w:szCs w:val="18"/>
                <w:lang w:val="el-GR" w:eastAsia="it-IT"/>
              </w:rPr>
              <w:t>Media Communications</w:t>
            </w:r>
          </w:p>
          <w:p w:rsidR="00391DED" w:rsidRPr="0075557E" w:rsidRDefault="00391DED" w:rsidP="00040E53">
            <w:pPr>
              <w:jc w:val="center"/>
              <w:rPr>
                <w:rStyle w:val="Emphasis"/>
                <w:rFonts w:ascii="Verdana" w:hAnsi="Verdana" w:cs="Arial"/>
                <w:sz w:val="18"/>
                <w:szCs w:val="18"/>
                <w:lang w:val="el-GR"/>
              </w:rPr>
            </w:pPr>
            <w:r w:rsidRPr="0075557E">
              <w:rPr>
                <w:rFonts w:ascii="Verdana" w:hAnsi="Verdana" w:cs="Verdana"/>
                <w:i/>
                <w:iCs/>
                <w:color w:val="000000"/>
                <w:sz w:val="18"/>
                <w:szCs w:val="18"/>
                <w:lang w:val="el-GR" w:eastAsia="it-IT"/>
              </w:rPr>
              <w:t>T. (+39) 06 51899030</w:t>
            </w:r>
          </w:p>
        </w:tc>
      </w:tr>
    </w:tbl>
    <w:p w:rsidR="00391DED" w:rsidRPr="0075557E" w:rsidRDefault="00391DED" w:rsidP="00391DED">
      <w:pPr>
        <w:jc w:val="center"/>
        <w:rPr>
          <w:rStyle w:val="Emphasis"/>
          <w:rFonts w:ascii="Verdana" w:hAnsi="Verdana" w:cs="Arial"/>
          <w:sz w:val="18"/>
          <w:szCs w:val="18"/>
          <w:lang w:val="el-GR"/>
        </w:rPr>
      </w:pPr>
    </w:p>
    <w:p w:rsidR="00391DED" w:rsidRPr="0075557E" w:rsidRDefault="00391DED" w:rsidP="00391DED">
      <w:pPr>
        <w:ind w:left="-360"/>
        <w:jc w:val="center"/>
        <w:rPr>
          <w:rStyle w:val="Emphasis"/>
          <w:rFonts w:ascii="Verdana" w:hAnsi="Verdana" w:cs="Arial"/>
          <w:sz w:val="18"/>
          <w:szCs w:val="18"/>
          <w:lang w:val="el-GR"/>
        </w:rPr>
      </w:pPr>
      <w:r w:rsidRPr="0075557E">
        <w:rPr>
          <w:rStyle w:val="Emphasis"/>
          <w:rFonts w:ascii="Verdana" w:hAnsi="Verdana" w:cs="Arial"/>
          <w:sz w:val="18"/>
          <w:szCs w:val="18"/>
          <w:lang w:val="el-GR"/>
        </w:rPr>
        <w:t xml:space="preserve">Το παρόν Δελτίο Τύπου καθώς και όλα τα προηγούμενα είναι διαθέσιμα </w:t>
      </w:r>
    </w:p>
    <w:p w:rsidR="00F7291C" w:rsidRPr="00525E48" w:rsidRDefault="00391DED" w:rsidP="001253AC">
      <w:pPr>
        <w:ind w:left="-360"/>
        <w:jc w:val="center"/>
        <w:rPr>
          <w:lang w:val="el-GR"/>
        </w:rPr>
      </w:pPr>
      <w:r w:rsidRPr="0075557E">
        <w:rPr>
          <w:rStyle w:val="Emphasis"/>
          <w:rFonts w:ascii="Verdana" w:hAnsi="Verdana" w:cs="Arial"/>
          <w:sz w:val="18"/>
          <w:szCs w:val="18"/>
          <w:lang w:val="el-GR"/>
        </w:rPr>
        <w:t xml:space="preserve">στην ιστοσελίδα της GTECH: </w:t>
      </w:r>
      <w:hyperlink r:id="rId10" w:history="1">
        <w:r w:rsidRPr="0075557E">
          <w:rPr>
            <w:rStyle w:val="Hyperlink"/>
            <w:rFonts w:ascii="Verdana" w:hAnsi="Verdana" w:cs="Arial"/>
            <w:sz w:val="18"/>
            <w:szCs w:val="18"/>
            <w:lang w:val="el-GR"/>
          </w:rPr>
          <w:t>www.gtech.com</w:t>
        </w:r>
      </w:hyperlink>
    </w:p>
    <w:sectPr w:rsidR="00F7291C" w:rsidRPr="00525E48" w:rsidSect="00B97808">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2D" w:rsidRDefault="004A3E2D" w:rsidP="00D87113">
      <w:r>
        <w:separator/>
      </w:r>
    </w:p>
  </w:endnote>
  <w:endnote w:type="continuationSeparator" w:id="0">
    <w:p w:rsidR="004A3E2D" w:rsidRDefault="004A3E2D" w:rsidP="00D8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4204"/>
      <w:docPartObj>
        <w:docPartGallery w:val="Page Numbers (Bottom of Page)"/>
        <w:docPartUnique/>
      </w:docPartObj>
    </w:sdtPr>
    <w:sdtEndPr/>
    <w:sdtContent>
      <w:sdt>
        <w:sdtPr>
          <w:id w:val="860082579"/>
          <w:docPartObj>
            <w:docPartGallery w:val="Page Numbers (Top of Page)"/>
            <w:docPartUnique/>
          </w:docPartObj>
        </w:sdtPr>
        <w:sdtEndPr/>
        <w:sdtContent>
          <w:p w:rsidR="00EA6BA7" w:rsidRDefault="00EA6BA7">
            <w:pPr>
              <w:pStyle w:val="Footer"/>
              <w:jc w:val="right"/>
            </w:pPr>
            <w:r>
              <w:t xml:space="preserve">Page </w:t>
            </w:r>
            <w:r>
              <w:rPr>
                <w:b/>
                <w:bCs/>
              </w:rPr>
              <w:fldChar w:fldCharType="begin"/>
            </w:r>
            <w:r>
              <w:rPr>
                <w:b/>
                <w:bCs/>
              </w:rPr>
              <w:instrText xml:space="preserve"> PAGE </w:instrText>
            </w:r>
            <w:r>
              <w:rPr>
                <w:b/>
                <w:bCs/>
              </w:rPr>
              <w:fldChar w:fldCharType="separate"/>
            </w:r>
            <w:r w:rsidR="006A164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A164A">
              <w:rPr>
                <w:b/>
                <w:bCs/>
                <w:noProof/>
              </w:rPr>
              <w:t>4</w:t>
            </w:r>
            <w:r>
              <w:rPr>
                <w:b/>
                <w:bCs/>
              </w:rPr>
              <w:fldChar w:fldCharType="end"/>
            </w:r>
          </w:p>
        </w:sdtContent>
      </w:sdt>
    </w:sdtContent>
  </w:sdt>
  <w:p w:rsidR="00EA6BA7" w:rsidRDefault="00EA6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2D" w:rsidRDefault="004A3E2D" w:rsidP="00D87113">
      <w:r>
        <w:separator/>
      </w:r>
    </w:p>
  </w:footnote>
  <w:footnote w:type="continuationSeparator" w:id="0">
    <w:p w:rsidR="004A3E2D" w:rsidRDefault="004A3E2D" w:rsidP="00D87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91A4C"/>
    <w:multiLevelType w:val="hybridMultilevel"/>
    <w:tmpl w:val="2D4E5212"/>
    <w:lvl w:ilvl="0" w:tplc="4BDCA09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D7"/>
    <w:rsid w:val="0000655D"/>
    <w:rsid w:val="00006765"/>
    <w:rsid w:val="00011D35"/>
    <w:rsid w:val="00014CBC"/>
    <w:rsid w:val="00017BA9"/>
    <w:rsid w:val="00022570"/>
    <w:rsid w:val="0002441C"/>
    <w:rsid w:val="00024ADE"/>
    <w:rsid w:val="00025028"/>
    <w:rsid w:val="000250F5"/>
    <w:rsid w:val="000270E4"/>
    <w:rsid w:val="000338E8"/>
    <w:rsid w:val="000352B6"/>
    <w:rsid w:val="00037DE4"/>
    <w:rsid w:val="00040A6A"/>
    <w:rsid w:val="00040E53"/>
    <w:rsid w:val="00043270"/>
    <w:rsid w:val="000473A5"/>
    <w:rsid w:val="00047B96"/>
    <w:rsid w:val="0005016F"/>
    <w:rsid w:val="00050A53"/>
    <w:rsid w:val="00053295"/>
    <w:rsid w:val="00053629"/>
    <w:rsid w:val="000652AC"/>
    <w:rsid w:val="00070246"/>
    <w:rsid w:val="00072E05"/>
    <w:rsid w:val="000747E2"/>
    <w:rsid w:val="0007510F"/>
    <w:rsid w:val="00075C9B"/>
    <w:rsid w:val="00075DD8"/>
    <w:rsid w:val="00076827"/>
    <w:rsid w:val="00076F42"/>
    <w:rsid w:val="00077357"/>
    <w:rsid w:val="00084738"/>
    <w:rsid w:val="00091371"/>
    <w:rsid w:val="0009321E"/>
    <w:rsid w:val="000944C4"/>
    <w:rsid w:val="000A2B81"/>
    <w:rsid w:val="000A2E5C"/>
    <w:rsid w:val="000B63D6"/>
    <w:rsid w:val="000B7124"/>
    <w:rsid w:val="000C2A32"/>
    <w:rsid w:val="000C3C83"/>
    <w:rsid w:val="000C4B30"/>
    <w:rsid w:val="000C72EF"/>
    <w:rsid w:val="000C75E3"/>
    <w:rsid w:val="000D4865"/>
    <w:rsid w:val="000D7299"/>
    <w:rsid w:val="000D7BEE"/>
    <w:rsid w:val="000E1611"/>
    <w:rsid w:val="000E4DEF"/>
    <w:rsid w:val="000E4F36"/>
    <w:rsid w:val="000E74EC"/>
    <w:rsid w:val="000F02BB"/>
    <w:rsid w:val="000F36C1"/>
    <w:rsid w:val="000F4149"/>
    <w:rsid w:val="000F44BD"/>
    <w:rsid w:val="00100DE1"/>
    <w:rsid w:val="001013CA"/>
    <w:rsid w:val="00102832"/>
    <w:rsid w:val="00113DBA"/>
    <w:rsid w:val="00122070"/>
    <w:rsid w:val="001253AC"/>
    <w:rsid w:val="00130D06"/>
    <w:rsid w:val="00131715"/>
    <w:rsid w:val="0013497C"/>
    <w:rsid w:val="0013552C"/>
    <w:rsid w:val="00137D1C"/>
    <w:rsid w:val="00144036"/>
    <w:rsid w:val="001506AB"/>
    <w:rsid w:val="00150883"/>
    <w:rsid w:val="00154789"/>
    <w:rsid w:val="0016333F"/>
    <w:rsid w:val="0016707A"/>
    <w:rsid w:val="0016751D"/>
    <w:rsid w:val="00172BF1"/>
    <w:rsid w:val="00176643"/>
    <w:rsid w:val="001830AA"/>
    <w:rsid w:val="0018338C"/>
    <w:rsid w:val="001847FE"/>
    <w:rsid w:val="00185B0E"/>
    <w:rsid w:val="001865BA"/>
    <w:rsid w:val="001A0F39"/>
    <w:rsid w:val="001A2D3E"/>
    <w:rsid w:val="001A5020"/>
    <w:rsid w:val="001A50FC"/>
    <w:rsid w:val="001B066B"/>
    <w:rsid w:val="001B096D"/>
    <w:rsid w:val="001B0B0B"/>
    <w:rsid w:val="001B2CE9"/>
    <w:rsid w:val="001B4BDF"/>
    <w:rsid w:val="001C2150"/>
    <w:rsid w:val="001C6EB4"/>
    <w:rsid w:val="001D10A6"/>
    <w:rsid w:val="001D22DC"/>
    <w:rsid w:val="001D560A"/>
    <w:rsid w:val="001D75C4"/>
    <w:rsid w:val="001E284C"/>
    <w:rsid w:val="001E2BF0"/>
    <w:rsid w:val="001E7E62"/>
    <w:rsid w:val="001F76B7"/>
    <w:rsid w:val="0020236E"/>
    <w:rsid w:val="002024D3"/>
    <w:rsid w:val="00202E4B"/>
    <w:rsid w:val="00204BF3"/>
    <w:rsid w:val="0020648C"/>
    <w:rsid w:val="002077F8"/>
    <w:rsid w:val="00213A9E"/>
    <w:rsid w:val="00215456"/>
    <w:rsid w:val="00215C16"/>
    <w:rsid w:val="0021627A"/>
    <w:rsid w:val="002175FA"/>
    <w:rsid w:val="002211D2"/>
    <w:rsid w:val="0022227A"/>
    <w:rsid w:val="00234CCD"/>
    <w:rsid w:val="0023758E"/>
    <w:rsid w:val="00237D5C"/>
    <w:rsid w:val="00241B96"/>
    <w:rsid w:val="0024224C"/>
    <w:rsid w:val="002436A9"/>
    <w:rsid w:val="0024430B"/>
    <w:rsid w:val="0025175A"/>
    <w:rsid w:val="002518A6"/>
    <w:rsid w:val="00252EF9"/>
    <w:rsid w:val="00254AAE"/>
    <w:rsid w:val="0025542D"/>
    <w:rsid w:val="00261EDF"/>
    <w:rsid w:val="002675AD"/>
    <w:rsid w:val="0027220C"/>
    <w:rsid w:val="0027245A"/>
    <w:rsid w:val="00275B7B"/>
    <w:rsid w:val="0027787A"/>
    <w:rsid w:val="00280CED"/>
    <w:rsid w:val="002814C7"/>
    <w:rsid w:val="00281D01"/>
    <w:rsid w:val="00284F7F"/>
    <w:rsid w:val="00287A54"/>
    <w:rsid w:val="00287C7F"/>
    <w:rsid w:val="00290766"/>
    <w:rsid w:val="00291FB4"/>
    <w:rsid w:val="00297516"/>
    <w:rsid w:val="002A35A0"/>
    <w:rsid w:val="002A3A22"/>
    <w:rsid w:val="002B2CB2"/>
    <w:rsid w:val="002B38C9"/>
    <w:rsid w:val="002B64C9"/>
    <w:rsid w:val="002C35DA"/>
    <w:rsid w:val="002C5415"/>
    <w:rsid w:val="002C5637"/>
    <w:rsid w:val="002C5950"/>
    <w:rsid w:val="002C6466"/>
    <w:rsid w:val="002C7C1D"/>
    <w:rsid w:val="002D02D9"/>
    <w:rsid w:val="002D5FC0"/>
    <w:rsid w:val="002D756C"/>
    <w:rsid w:val="002E0B4D"/>
    <w:rsid w:val="002E1D4A"/>
    <w:rsid w:val="002E387B"/>
    <w:rsid w:val="002E53E3"/>
    <w:rsid w:val="002E5E27"/>
    <w:rsid w:val="002F2F9C"/>
    <w:rsid w:val="002F4C1E"/>
    <w:rsid w:val="002F5474"/>
    <w:rsid w:val="0030068F"/>
    <w:rsid w:val="00302F93"/>
    <w:rsid w:val="003034BF"/>
    <w:rsid w:val="003037EC"/>
    <w:rsid w:val="00305918"/>
    <w:rsid w:val="00311777"/>
    <w:rsid w:val="00313CFB"/>
    <w:rsid w:val="003179AC"/>
    <w:rsid w:val="00321149"/>
    <w:rsid w:val="003227FB"/>
    <w:rsid w:val="003239A1"/>
    <w:rsid w:val="00324B4D"/>
    <w:rsid w:val="00325ADF"/>
    <w:rsid w:val="00325D14"/>
    <w:rsid w:val="00331305"/>
    <w:rsid w:val="003323D9"/>
    <w:rsid w:val="003348A8"/>
    <w:rsid w:val="003406DB"/>
    <w:rsid w:val="00341277"/>
    <w:rsid w:val="003429A4"/>
    <w:rsid w:val="0034311D"/>
    <w:rsid w:val="003443FC"/>
    <w:rsid w:val="00352260"/>
    <w:rsid w:val="0035599C"/>
    <w:rsid w:val="003604F3"/>
    <w:rsid w:val="00360AFC"/>
    <w:rsid w:val="003641EE"/>
    <w:rsid w:val="003642F5"/>
    <w:rsid w:val="00365F5A"/>
    <w:rsid w:val="00370CED"/>
    <w:rsid w:val="00372E88"/>
    <w:rsid w:val="00375926"/>
    <w:rsid w:val="00375FA9"/>
    <w:rsid w:val="00376B64"/>
    <w:rsid w:val="00377836"/>
    <w:rsid w:val="00380D27"/>
    <w:rsid w:val="00381A9D"/>
    <w:rsid w:val="00384437"/>
    <w:rsid w:val="0038449E"/>
    <w:rsid w:val="0039082B"/>
    <w:rsid w:val="0039125E"/>
    <w:rsid w:val="00391283"/>
    <w:rsid w:val="00391DED"/>
    <w:rsid w:val="00394370"/>
    <w:rsid w:val="003A3F21"/>
    <w:rsid w:val="003A5AB1"/>
    <w:rsid w:val="003A69B7"/>
    <w:rsid w:val="003A78CC"/>
    <w:rsid w:val="003B3883"/>
    <w:rsid w:val="003B483F"/>
    <w:rsid w:val="003B61A2"/>
    <w:rsid w:val="003C4802"/>
    <w:rsid w:val="003C5027"/>
    <w:rsid w:val="003C5B10"/>
    <w:rsid w:val="003D0CC2"/>
    <w:rsid w:val="003D0D77"/>
    <w:rsid w:val="003D564B"/>
    <w:rsid w:val="003D6F14"/>
    <w:rsid w:val="003D7F2C"/>
    <w:rsid w:val="003E3D25"/>
    <w:rsid w:val="003E4EF6"/>
    <w:rsid w:val="003E571D"/>
    <w:rsid w:val="003F1153"/>
    <w:rsid w:val="003F395A"/>
    <w:rsid w:val="003F7C7A"/>
    <w:rsid w:val="004060DA"/>
    <w:rsid w:val="004107DB"/>
    <w:rsid w:val="00410CCC"/>
    <w:rsid w:val="0041397E"/>
    <w:rsid w:val="00413BF9"/>
    <w:rsid w:val="00413C73"/>
    <w:rsid w:val="00414839"/>
    <w:rsid w:val="00417EEC"/>
    <w:rsid w:val="004216F8"/>
    <w:rsid w:val="00425206"/>
    <w:rsid w:val="00432408"/>
    <w:rsid w:val="00434025"/>
    <w:rsid w:val="0043589F"/>
    <w:rsid w:val="00435D6A"/>
    <w:rsid w:val="004405A4"/>
    <w:rsid w:val="00442125"/>
    <w:rsid w:val="0045337A"/>
    <w:rsid w:val="004536A4"/>
    <w:rsid w:val="00455313"/>
    <w:rsid w:val="0045557C"/>
    <w:rsid w:val="00455E11"/>
    <w:rsid w:val="00456B77"/>
    <w:rsid w:val="004573E8"/>
    <w:rsid w:val="004617B7"/>
    <w:rsid w:val="00462526"/>
    <w:rsid w:val="00462B76"/>
    <w:rsid w:val="004638A1"/>
    <w:rsid w:val="004644B9"/>
    <w:rsid w:val="0046527F"/>
    <w:rsid w:val="004655A9"/>
    <w:rsid w:val="0047023A"/>
    <w:rsid w:val="00472CAC"/>
    <w:rsid w:val="00475DE6"/>
    <w:rsid w:val="00486988"/>
    <w:rsid w:val="00486FE2"/>
    <w:rsid w:val="004875CF"/>
    <w:rsid w:val="004879FB"/>
    <w:rsid w:val="00487E1F"/>
    <w:rsid w:val="00490897"/>
    <w:rsid w:val="004926EE"/>
    <w:rsid w:val="0049305A"/>
    <w:rsid w:val="00493641"/>
    <w:rsid w:val="004936CB"/>
    <w:rsid w:val="004955B3"/>
    <w:rsid w:val="00495B35"/>
    <w:rsid w:val="00496EB0"/>
    <w:rsid w:val="004A10C5"/>
    <w:rsid w:val="004A155C"/>
    <w:rsid w:val="004A1D49"/>
    <w:rsid w:val="004A2F60"/>
    <w:rsid w:val="004A319E"/>
    <w:rsid w:val="004A3E2D"/>
    <w:rsid w:val="004A4177"/>
    <w:rsid w:val="004A523C"/>
    <w:rsid w:val="004A53E6"/>
    <w:rsid w:val="004A6139"/>
    <w:rsid w:val="004A7360"/>
    <w:rsid w:val="004B22BB"/>
    <w:rsid w:val="004B3341"/>
    <w:rsid w:val="004B478E"/>
    <w:rsid w:val="004B479D"/>
    <w:rsid w:val="004B60B4"/>
    <w:rsid w:val="004C3223"/>
    <w:rsid w:val="004D67F9"/>
    <w:rsid w:val="004D72C1"/>
    <w:rsid w:val="004E4146"/>
    <w:rsid w:val="004E51DD"/>
    <w:rsid w:val="004E5BC7"/>
    <w:rsid w:val="004F183B"/>
    <w:rsid w:val="005010A5"/>
    <w:rsid w:val="005031F4"/>
    <w:rsid w:val="00503FC3"/>
    <w:rsid w:val="00513332"/>
    <w:rsid w:val="00513DA7"/>
    <w:rsid w:val="005144C0"/>
    <w:rsid w:val="0051699C"/>
    <w:rsid w:val="00520888"/>
    <w:rsid w:val="00520C88"/>
    <w:rsid w:val="00521F5D"/>
    <w:rsid w:val="005239BB"/>
    <w:rsid w:val="00525E48"/>
    <w:rsid w:val="0052769B"/>
    <w:rsid w:val="00530455"/>
    <w:rsid w:val="0053066B"/>
    <w:rsid w:val="00531058"/>
    <w:rsid w:val="00532EC5"/>
    <w:rsid w:val="00535C25"/>
    <w:rsid w:val="0054268C"/>
    <w:rsid w:val="005501B8"/>
    <w:rsid w:val="00556427"/>
    <w:rsid w:val="0055680E"/>
    <w:rsid w:val="00557E12"/>
    <w:rsid w:val="00563EDC"/>
    <w:rsid w:val="00564CE7"/>
    <w:rsid w:val="00567A91"/>
    <w:rsid w:val="0057240C"/>
    <w:rsid w:val="005728DF"/>
    <w:rsid w:val="00572C93"/>
    <w:rsid w:val="005750D4"/>
    <w:rsid w:val="0058303F"/>
    <w:rsid w:val="005832D3"/>
    <w:rsid w:val="00584D49"/>
    <w:rsid w:val="00591E13"/>
    <w:rsid w:val="005946DA"/>
    <w:rsid w:val="005977C4"/>
    <w:rsid w:val="005A238F"/>
    <w:rsid w:val="005A39FA"/>
    <w:rsid w:val="005A6B3C"/>
    <w:rsid w:val="005A6CAD"/>
    <w:rsid w:val="005A7C00"/>
    <w:rsid w:val="005A7D86"/>
    <w:rsid w:val="005B12D6"/>
    <w:rsid w:val="005B50F1"/>
    <w:rsid w:val="005C0926"/>
    <w:rsid w:val="005C4335"/>
    <w:rsid w:val="005C71E7"/>
    <w:rsid w:val="005C7D1F"/>
    <w:rsid w:val="005D248F"/>
    <w:rsid w:val="005E1914"/>
    <w:rsid w:val="005E6089"/>
    <w:rsid w:val="005E6E74"/>
    <w:rsid w:val="005F05F6"/>
    <w:rsid w:val="005F2E7E"/>
    <w:rsid w:val="005F4F57"/>
    <w:rsid w:val="005F6174"/>
    <w:rsid w:val="005F6601"/>
    <w:rsid w:val="00600C98"/>
    <w:rsid w:val="00600F8E"/>
    <w:rsid w:val="00603420"/>
    <w:rsid w:val="00603EDA"/>
    <w:rsid w:val="006051E1"/>
    <w:rsid w:val="00605A70"/>
    <w:rsid w:val="00605FD3"/>
    <w:rsid w:val="00610E48"/>
    <w:rsid w:val="00613C86"/>
    <w:rsid w:val="00616581"/>
    <w:rsid w:val="00620212"/>
    <w:rsid w:val="00622017"/>
    <w:rsid w:val="00624160"/>
    <w:rsid w:val="006249C2"/>
    <w:rsid w:val="0062552B"/>
    <w:rsid w:val="00636541"/>
    <w:rsid w:val="00641604"/>
    <w:rsid w:val="006462BD"/>
    <w:rsid w:val="00646895"/>
    <w:rsid w:val="00646E43"/>
    <w:rsid w:val="0064753B"/>
    <w:rsid w:val="006501D6"/>
    <w:rsid w:val="00650DEF"/>
    <w:rsid w:val="00660741"/>
    <w:rsid w:val="00662CF5"/>
    <w:rsid w:val="00663C0D"/>
    <w:rsid w:val="00665000"/>
    <w:rsid w:val="00665116"/>
    <w:rsid w:val="006677D7"/>
    <w:rsid w:val="006725C3"/>
    <w:rsid w:val="0068162B"/>
    <w:rsid w:val="006863DD"/>
    <w:rsid w:val="00687560"/>
    <w:rsid w:val="00687617"/>
    <w:rsid w:val="00691E20"/>
    <w:rsid w:val="006A164A"/>
    <w:rsid w:val="006A362C"/>
    <w:rsid w:val="006A52C1"/>
    <w:rsid w:val="006A560A"/>
    <w:rsid w:val="006B2F57"/>
    <w:rsid w:val="006B6AA5"/>
    <w:rsid w:val="006B72E4"/>
    <w:rsid w:val="006C546F"/>
    <w:rsid w:val="006C6457"/>
    <w:rsid w:val="006C6C62"/>
    <w:rsid w:val="006D14DD"/>
    <w:rsid w:val="006D3378"/>
    <w:rsid w:val="006D69C7"/>
    <w:rsid w:val="006E7DCA"/>
    <w:rsid w:val="006F05EE"/>
    <w:rsid w:val="006F0BF4"/>
    <w:rsid w:val="006F31C7"/>
    <w:rsid w:val="006F44E7"/>
    <w:rsid w:val="00702554"/>
    <w:rsid w:val="007108DA"/>
    <w:rsid w:val="00714052"/>
    <w:rsid w:val="00715D76"/>
    <w:rsid w:val="00716EDF"/>
    <w:rsid w:val="00717EDB"/>
    <w:rsid w:val="007217D7"/>
    <w:rsid w:val="007256D2"/>
    <w:rsid w:val="00726E95"/>
    <w:rsid w:val="00730AF3"/>
    <w:rsid w:val="00734C56"/>
    <w:rsid w:val="007408F9"/>
    <w:rsid w:val="00742B7A"/>
    <w:rsid w:val="00742CB6"/>
    <w:rsid w:val="00744337"/>
    <w:rsid w:val="007450F6"/>
    <w:rsid w:val="007452BA"/>
    <w:rsid w:val="007467CF"/>
    <w:rsid w:val="0075187E"/>
    <w:rsid w:val="00751DFC"/>
    <w:rsid w:val="0075492D"/>
    <w:rsid w:val="0075557E"/>
    <w:rsid w:val="00755FFB"/>
    <w:rsid w:val="0075636B"/>
    <w:rsid w:val="0075669B"/>
    <w:rsid w:val="00756D21"/>
    <w:rsid w:val="00756DCB"/>
    <w:rsid w:val="007571E3"/>
    <w:rsid w:val="00757C0A"/>
    <w:rsid w:val="00762682"/>
    <w:rsid w:val="00762CD0"/>
    <w:rsid w:val="00764074"/>
    <w:rsid w:val="00766112"/>
    <w:rsid w:val="00767029"/>
    <w:rsid w:val="0076739C"/>
    <w:rsid w:val="007815D2"/>
    <w:rsid w:val="00782925"/>
    <w:rsid w:val="00791BD8"/>
    <w:rsid w:val="00793011"/>
    <w:rsid w:val="00794BD7"/>
    <w:rsid w:val="00795549"/>
    <w:rsid w:val="00796D9A"/>
    <w:rsid w:val="007A1609"/>
    <w:rsid w:val="007A3F48"/>
    <w:rsid w:val="007A6A7D"/>
    <w:rsid w:val="007B3475"/>
    <w:rsid w:val="007B4975"/>
    <w:rsid w:val="007B4CB9"/>
    <w:rsid w:val="007B53E9"/>
    <w:rsid w:val="007C0590"/>
    <w:rsid w:val="007C2C62"/>
    <w:rsid w:val="007D10B1"/>
    <w:rsid w:val="007D28FE"/>
    <w:rsid w:val="007D3C9D"/>
    <w:rsid w:val="007D4687"/>
    <w:rsid w:val="007D7CB6"/>
    <w:rsid w:val="007E0410"/>
    <w:rsid w:val="007E0F33"/>
    <w:rsid w:val="007E6296"/>
    <w:rsid w:val="007E6735"/>
    <w:rsid w:val="007F5AD7"/>
    <w:rsid w:val="007F5CB7"/>
    <w:rsid w:val="007F760B"/>
    <w:rsid w:val="008029A6"/>
    <w:rsid w:val="00804755"/>
    <w:rsid w:val="008055E1"/>
    <w:rsid w:val="00812B61"/>
    <w:rsid w:val="00824347"/>
    <w:rsid w:val="00825116"/>
    <w:rsid w:val="0083509F"/>
    <w:rsid w:val="008363A4"/>
    <w:rsid w:val="00837586"/>
    <w:rsid w:val="00845C0E"/>
    <w:rsid w:val="00850A66"/>
    <w:rsid w:val="00851DCC"/>
    <w:rsid w:val="008534AB"/>
    <w:rsid w:val="00856585"/>
    <w:rsid w:val="008601FA"/>
    <w:rsid w:val="00862392"/>
    <w:rsid w:val="00866534"/>
    <w:rsid w:val="00873508"/>
    <w:rsid w:val="0087550C"/>
    <w:rsid w:val="00880A66"/>
    <w:rsid w:val="00880F2E"/>
    <w:rsid w:val="008826CE"/>
    <w:rsid w:val="00882ADE"/>
    <w:rsid w:val="00885641"/>
    <w:rsid w:val="0088635A"/>
    <w:rsid w:val="00892FDA"/>
    <w:rsid w:val="0089583C"/>
    <w:rsid w:val="0089694F"/>
    <w:rsid w:val="00897DAE"/>
    <w:rsid w:val="008A2867"/>
    <w:rsid w:val="008A2C4F"/>
    <w:rsid w:val="008A3E85"/>
    <w:rsid w:val="008A5AF9"/>
    <w:rsid w:val="008A7684"/>
    <w:rsid w:val="008A7A43"/>
    <w:rsid w:val="008B1A63"/>
    <w:rsid w:val="008B4327"/>
    <w:rsid w:val="008B44A4"/>
    <w:rsid w:val="008C0511"/>
    <w:rsid w:val="008C0DBE"/>
    <w:rsid w:val="008C3430"/>
    <w:rsid w:val="008C5D21"/>
    <w:rsid w:val="008C6548"/>
    <w:rsid w:val="008D4C75"/>
    <w:rsid w:val="008F1E00"/>
    <w:rsid w:val="008F388F"/>
    <w:rsid w:val="008F4426"/>
    <w:rsid w:val="008F5951"/>
    <w:rsid w:val="008F5B54"/>
    <w:rsid w:val="009024EF"/>
    <w:rsid w:val="00904B2D"/>
    <w:rsid w:val="00904FA9"/>
    <w:rsid w:val="00911F40"/>
    <w:rsid w:val="009134E0"/>
    <w:rsid w:val="00913D10"/>
    <w:rsid w:val="00917286"/>
    <w:rsid w:val="00920438"/>
    <w:rsid w:val="0092258E"/>
    <w:rsid w:val="00927486"/>
    <w:rsid w:val="00944272"/>
    <w:rsid w:val="00947303"/>
    <w:rsid w:val="00947638"/>
    <w:rsid w:val="00947A59"/>
    <w:rsid w:val="0095626D"/>
    <w:rsid w:val="00956667"/>
    <w:rsid w:val="00957341"/>
    <w:rsid w:val="00963DD3"/>
    <w:rsid w:val="00967088"/>
    <w:rsid w:val="009755A0"/>
    <w:rsid w:val="00976842"/>
    <w:rsid w:val="0098204E"/>
    <w:rsid w:val="009858B8"/>
    <w:rsid w:val="0099048B"/>
    <w:rsid w:val="009A0EEB"/>
    <w:rsid w:val="009A0EED"/>
    <w:rsid w:val="009A42EC"/>
    <w:rsid w:val="009B0441"/>
    <w:rsid w:val="009B1B7A"/>
    <w:rsid w:val="009B5C7F"/>
    <w:rsid w:val="009B7459"/>
    <w:rsid w:val="009C11CA"/>
    <w:rsid w:val="009C304F"/>
    <w:rsid w:val="009D3176"/>
    <w:rsid w:val="009D32AD"/>
    <w:rsid w:val="009D3E5A"/>
    <w:rsid w:val="009D6002"/>
    <w:rsid w:val="009E1B6E"/>
    <w:rsid w:val="009E753B"/>
    <w:rsid w:val="009F50E9"/>
    <w:rsid w:val="009F6A2F"/>
    <w:rsid w:val="009F703F"/>
    <w:rsid w:val="00A00191"/>
    <w:rsid w:val="00A06468"/>
    <w:rsid w:val="00A249CC"/>
    <w:rsid w:val="00A304D1"/>
    <w:rsid w:val="00A31091"/>
    <w:rsid w:val="00A323AA"/>
    <w:rsid w:val="00A355D3"/>
    <w:rsid w:val="00A3752C"/>
    <w:rsid w:val="00A42CD4"/>
    <w:rsid w:val="00A507E3"/>
    <w:rsid w:val="00A5231F"/>
    <w:rsid w:val="00A566F9"/>
    <w:rsid w:val="00A65BF8"/>
    <w:rsid w:val="00A6614F"/>
    <w:rsid w:val="00A676D5"/>
    <w:rsid w:val="00A721EA"/>
    <w:rsid w:val="00A837FC"/>
    <w:rsid w:val="00A92CDD"/>
    <w:rsid w:val="00A9340C"/>
    <w:rsid w:val="00AA3765"/>
    <w:rsid w:val="00AA63DC"/>
    <w:rsid w:val="00AA7BC6"/>
    <w:rsid w:val="00AB0A0F"/>
    <w:rsid w:val="00AB1267"/>
    <w:rsid w:val="00AB1906"/>
    <w:rsid w:val="00AB27E0"/>
    <w:rsid w:val="00AB4EEB"/>
    <w:rsid w:val="00AB582F"/>
    <w:rsid w:val="00AC0D43"/>
    <w:rsid w:val="00AC46C3"/>
    <w:rsid w:val="00AC48BE"/>
    <w:rsid w:val="00AC4B1C"/>
    <w:rsid w:val="00AC65A1"/>
    <w:rsid w:val="00AD2854"/>
    <w:rsid w:val="00AD4CF4"/>
    <w:rsid w:val="00AD71B7"/>
    <w:rsid w:val="00AE312F"/>
    <w:rsid w:val="00AE3218"/>
    <w:rsid w:val="00AE4C00"/>
    <w:rsid w:val="00AE6E93"/>
    <w:rsid w:val="00AE714A"/>
    <w:rsid w:val="00AF32ED"/>
    <w:rsid w:val="00AF3406"/>
    <w:rsid w:val="00AF3604"/>
    <w:rsid w:val="00AF7F46"/>
    <w:rsid w:val="00B0037D"/>
    <w:rsid w:val="00B00870"/>
    <w:rsid w:val="00B008A4"/>
    <w:rsid w:val="00B014A3"/>
    <w:rsid w:val="00B02008"/>
    <w:rsid w:val="00B0621F"/>
    <w:rsid w:val="00B1073C"/>
    <w:rsid w:val="00B207E5"/>
    <w:rsid w:val="00B33897"/>
    <w:rsid w:val="00B34938"/>
    <w:rsid w:val="00B37C9B"/>
    <w:rsid w:val="00B4075E"/>
    <w:rsid w:val="00B41C43"/>
    <w:rsid w:val="00B41E45"/>
    <w:rsid w:val="00B4608E"/>
    <w:rsid w:val="00B62D81"/>
    <w:rsid w:val="00B63133"/>
    <w:rsid w:val="00B64A59"/>
    <w:rsid w:val="00B70C58"/>
    <w:rsid w:val="00B717A2"/>
    <w:rsid w:val="00B747B8"/>
    <w:rsid w:val="00B76E66"/>
    <w:rsid w:val="00B80730"/>
    <w:rsid w:val="00B814AB"/>
    <w:rsid w:val="00B82A1F"/>
    <w:rsid w:val="00B830EF"/>
    <w:rsid w:val="00B83AE3"/>
    <w:rsid w:val="00B85F13"/>
    <w:rsid w:val="00B91458"/>
    <w:rsid w:val="00B927ED"/>
    <w:rsid w:val="00B95EF5"/>
    <w:rsid w:val="00B971FA"/>
    <w:rsid w:val="00B972DA"/>
    <w:rsid w:val="00B97808"/>
    <w:rsid w:val="00BA2192"/>
    <w:rsid w:val="00BA4529"/>
    <w:rsid w:val="00BA57D0"/>
    <w:rsid w:val="00BA5B39"/>
    <w:rsid w:val="00BB6E69"/>
    <w:rsid w:val="00BC01A2"/>
    <w:rsid w:val="00BC1090"/>
    <w:rsid w:val="00BC5F4B"/>
    <w:rsid w:val="00BD1570"/>
    <w:rsid w:val="00BD544C"/>
    <w:rsid w:val="00BE0237"/>
    <w:rsid w:val="00BE1349"/>
    <w:rsid w:val="00BE3180"/>
    <w:rsid w:val="00BE4143"/>
    <w:rsid w:val="00BE5D6D"/>
    <w:rsid w:val="00BF0DE8"/>
    <w:rsid w:val="00BF2E0B"/>
    <w:rsid w:val="00BF4BB8"/>
    <w:rsid w:val="00C04320"/>
    <w:rsid w:val="00C068C2"/>
    <w:rsid w:val="00C06AC2"/>
    <w:rsid w:val="00C06E3A"/>
    <w:rsid w:val="00C100BA"/>
    <w:rsid w:val="00C10A23"/>
    <w:rsid w:val="00C129FD"/>
    <w:rsid w:val="00C12B4B"/>
    <w:rsid w:val="00C12FDD"/>
    <w:rsid w:val="00C15A86"/>
    <w:rsid w:val="00C167FB"/>
    <w:rsid w:val="00C1748C"/>
    <w:rsid w:val="00C20547"/>
    <w:rsid w:val="00C219A8"/>
    <w:rsid w:val="00C22570"/>
    <w:rsid w:val="00C3517B"/>
    <w:rsid w:val="00C351E1"/>
    <w:rsid w:val="00C42609"/>
    <w:rsid w:val="00C443BA"/>
    <w:rsid w:val="00C44971"/>
    <w:rsid w:val="00C610BC"/>
    <w:rsid w:val="00C61661"/>
    <w:rsid w:val="00C6768B"/>
    <w:rsid w:val="00C72285"/>
    <w:rsid w:val="00C770A5"/>
    <w:rsid w:val="00C854FE"/>
    <w:rsid w:val="00C9310C"/>
    <w:rsid w:val="00C94F29"/>
    <w:rsid w:val="00C95445"/>
    <w:rsid w:val="00CA10D5"/>
    <w:rsid w:val="00CA5526"/>
    <w:rsid w:val="00CA6D4F"/>
    <w:rsid w:val="00CB067B"/>
    <w:rsid w:val="00CB3146"/>
    <w:rsid w:val="00CB71D8"/>
    <w:rsid w:val="00CB79CE"/>
    <w:rsid w:val="00CC5159"/>
    <w:rsid w:val="00CC7DB0"/>
    <w:rsid w:val="00CD1AEE"/>
    <w:rsid w:val="00CD2FB6"/>
    <w:rsid w:val="00CE4D6E"/>
    <w:rsid w:val="00CE55E1"/>
    <w:rsid w:val="00CE5779"/>
    <w:rsid w:val="00CE7EC2"/>
    <w:rsid w:val="00CF4390"/>
    <w:rsid w:val="00CF4B7A"/>
    <w:rsid w:val="00D03F20"/>
    <w:rsid w:val="00D04245"/>
    <w:rsid w:val="00D10A69"/>
    <w:rsid w:val="00D12DC9"/>
    <w:rsid w:val="00D137D7"/>
    <w:rsid w:val="00D14AE7"/>
    <w:rsid w:val="00D15206"/>
    <w:rsid w:val="00D27475"/>
    <w:rsid w:val="00D304F3"/>
    <w:rsid w:val="00D3091E"/>
    <w:rsid w:val="00D36921"/>
    <w:rsid w:val="00D42D1C"/>
    <w:rsid w:val="00D43A19"/>
    <w:rsid w:val="00D50598"/>
    <w:rsid w:val="00D50763"/>
    <w:rsid w:val="00D52543"/>
    <w:rsid w:val="00D610BC"/>
    <w:rsid w:val="00D6315B"/>
    <w:rsid w:val="00D646A9"/>
    <w:rsid w:val="00D66529"/>
    <w:rsid w:val="00D66669"/>
    <w:rsid w:val="00D6684F"/>
    <w:rsid w:val="00D76622"/>
    <w:rsid w:val="00D801A9"/>
    <w:rsid w:val="00D8461B"/>
    <w:rsid w:val="00D8519D"/>
    <w:rsid w:val="00D8549E"/>
    <w:rsid w:val="00D87113"/>
    <w:rsid w:val="00D872F6"/>
    <w:rsid w:val="00D87E19"/>
    <w:rsid w:val="00D90EA9"/>
    <w:rsid w:val="00D91B22"/>
    <w:rsid w:val="00D91DDE"/>
    <w:rsid w:val="00D93603"/>
    <w:rsid w:val="00D93969"/>
    <w:rsid w:val="00DA7079"/>
    <w:rsid w:val="00DA7654"/>
    <w:rsid w:val="00DB0C9D"/>
    <w:rsid w:val="00DB5150"/>
    <w:rsid w:val="00DC1D88"/>
    <w:rsid w:val="00DC213D"/>
    <w:rsid w:val="00DC3274"/>
    <w:rsid w:val="00DC39C2"/>
    <w:rsid w:val="00DC4873"/>
    <w:rsid w:val="00DC7967"/>
    <w:rsid w:val="00DD326E"/>
    <w:rsid w:val="00DD39A3"/>
    <w:rsid w:val="00DE2844"/>
    <w:rsid w:val="00DE33E5"/>
    <w:rsid w:val="00DE5690"/>
    <w:rsid w:val="00DF6E8F"/>
    <w:rsid w:val="00E03EAB"/>
    <w:rsid w:val="00E05D85"/>
    <w:rsid w:val="00E06CCA"/>
    <w:rsid w:val="00E06D20"/>
    <w:rsid w:val="00E1161C"/>
    <w:rsid w:val="00E13989"/>
    <w:rsid w:val="00E229B6"/>
    <w:rsid w:val="00E27B57"/>
    <w:rsid w:val="00E32B4D"/>
    <w:rsid w:val="00E53925"/>
    <w:rsid w:val="00E579AD"/>
    <w:rsid w:val="00E60F69"/>
    <w:rsid w:val="00E62A99"/>
    <w:rsid w:val="00E63625"/>
    <w:rsid w:val="00E63BD1"/>
    <w:rsid w:val="00E67595"/>
    <w:rsid w:val="00E67D12"/>
    <w:rsid w:val="00E76122"/>
    <w:rsid w:val="00E820EC"/>
    <w:rsid w:val="00E82779"/>
    <w:rsid w:val="00E84109"/>
    <w:rsid w:val="00E8429F"/>
    <w:rsid w:val="00E8685E"/>
    <w:rsid w:val="00E877F3"/>
    <w:rsid w:val="00E93082"/>
    <w:rsid w:val="00E93BF8"/>
    <w:rsid w:val="00E9730E"/>
    <w:rsid w:val="00E973A7"/>
    <w:rsid w:val="00E979AD"/>
    <w:rsid w:val="00EA043D"/>
    <w:rsid w:val="00EA2F1B"/>
    <w:rsid w:val="00EA598C"/>
    <w:rsid w:val="00EA67DF"/>
    <w:rsid w:val="00EA6BA7"/>
    <w:rsid w:val="00EA7743"/>
    <w:rsid w:val="00EA77F8"/>
    <w:rsid w:val="00EB16A9"/>
    <w:rsid w:val="00EB2D6F"/>
    <w:rsid w:val="00EB34FB"/>
    <w:rsid w:val="00EB7BD0"/>
    <w:rsid w:val="00EC1C31"/>
    <w:rsid w:val="00EC5785"/>
    <w:rsid w:val="00EC65BE"/>
    <w:rsid w:val="00EC6D03"/>
    <w:rsid w:val="00EC7B5F"/>
    <w:rsid w:val="00ED0030"/>
    <w:rsid w:val="00ED1A0C"/>
    <w:rsid w:val="00ED52C2"/>
    <w:rsid w:val="00EE1201"/>
    <w:rsid w:val="00EE4504"/>
    <w:rsid w:val="00EE778C"/>
    <w:rsid w:val="00EF0A20"/>
    <w:rsid w:val="00EF1BFD"/>
    <w:rsid w:val="00F00B7B"/>
    <w:rsid w:val="00F0115E"/>
    <w:rsid w:val="00F03559"/>
    <w:rsid w:val="00F0494E"/>
    <w:rsid w:val="00F04C92"/>
    <w:rsid w:val="00F04E73"/>
    <w:rsid w:val="00F07408"/>
    <w:rsid w:val="00F11EE6"/>
    <w:rsid w:val="00F13090"/>
    <w:rsid w:val="00F25E3E"/>
    <w:rsid w:val="00F33E35"/>
    <w:rsid w:val="00F3530F"/>
    <w:rsid w:val="00F36904"/>
    <w:rsid w:val="00F41A2D"/>
    <w:rsid w:val="00F41ACB"/>
    <w:rsid w:val="00F4200F"/>
    <w:rsid w:val="00F42483"/>
    <w:rsid w:val="00F441D4"/>
    <w:rsid w:val="00F5339B"/>
    <w:rsid w:val="00F55C88"/>
    <w:rsid w:val="00F55DDE"/>
    <w:rsid w:val="00F56286"/>
    <w:rsid w:val="00F5784E"/>
    <w:rsid w:val="00F57BC5"/>
    <w:rsid w:val="00F6415F"/>
    <w:rsid w:val="00F645D4"/>
    <w:rsid w:val="00F658D0"/>
    <w:rsid w:val="00F65EFC"/>
    <w:rsid w:val="00F7259E"/>
    <w:rsid w:val="00F72844"/>
    <w:rsid w:val="00F7291C"/>
    <w:rsid w:val="00F754CF"/>
    <w:rsid w:val="00F77A69"/>
    <w:rsid w:val="00F80E48"/>
    <w:rsid w:val="00F851AF"/>
    <w:rsid w:val="00F87B8F"/>
    <w:rsid w:val="00F90C0C"/>
    <w:rsid w:val="00F90DFD"/>
    <w:rsid w:val="00F9463C"/>
    <w:rsid w:val="00F9538D"/>
    <w:rsid w:val="00FA34D3"/>
    <w:rsid w:val="00FA410F"/>
    <w:rsid w:val="00FA4740"/>
    <w:rsid w:val="00FA5620"/>
    <w:rsid w:val="00FB6B9D"/>
    <w:rsid w:val="00FC5DFF"/>
    <w:rsid w:val="00FD043C"/>
    <w:rsid w:val="00FD320C"/>
    <w:rsid w:val="00FD400A"/>
    <w:rsid w:val="00FD5D45"/>
    <w:rsid w:val="00FD67C7"/>
    <w:rsid w:val="00FD6959"/>
    <w:rsid w:val="00FE1012"/>
    <w:rsid w:val="00FE188B"/>
    <w:rsid w:val="00FE62B2"/>
    <w:rsid w:val="00FF24A8"/>
    <w:rsid w:val="00FF29D9"/>
    <w:rsid w:val="00FF3634"/>
    <w:rsid w:val="00FF4605"/>
    <w:rsid w:val="00FF5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ABE1968-B02E-4A84-98A9-6EA4BEF7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D7"/>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6677D7"/>
    <w:pPr>
      <w:keepNext/>
      <w:spacing w:before="240" w:line="480" w:lineRule="atLeast"/>
      <w:jc w:val="center"/>
      <w:outlineLvl w:val="0"/>
    </w:pPr>
    <w:rPr>
      <w:rFonts w:ascii="Times New Roman" w:hAnsi="Times New Roman"/>
      <w:u w:val="single"/>
    </w:rPr>
  </w:style>
  <w:style w:type="paragraph" w:styleId="Heading4">
    <w:name w:val="heading 4"/>
    <w:basedOn w:val="Normal"/>
    <w:next w:val="Normal"/>
    <w:link w:val="Heading4Char"/>
    <w:uiPriority w:val="9"/>
    <w:semiHidden/>
    <w:unhideWhenUsed/>
    <w:qFormat/>
    <w:rsid w:val="007F5A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D7"/>
    <w:rPr>
      <w:rFonts w:ascii="Times New Roman" w:eastAsia="Times New Roman" w:hAnsi="Times New Roman" w:cs="Times New Roman"/>
      <w:sz w:val="24"/>
      <w:szCs w:val="20"/>
      <w:u w:val="single"/>
    </w:rPr>
  </w:style>
  <w:style w:type="paragraph" w:customStyle="1" w:styleId="NormalTimesNewRoman">
    <w:name w:val="Normal + Times New Roman"/>
    <w:basedOn w:val="Normal"/>
    <w:link w:val="NormalTimesNewRomanChar"/>
    <w:rsid w:val="006677D7"/>
    <w:pPr>
      <w:tabs>
        <w:tab w:val="left" w:pos="6480"/>
      </w:tabs>
      <w:spacing w:line="480" w:lineRule="atLeast"/>
    </w:pPr>
    <w:rPr>
      <w:rFonts w:ascii="Times New Roman" w:hAnsi="Times New Roman"/>
    </w:rPr>
  </w:style>
  <w:style w:type="character" w:customStyle="1" w:styleId="NormalTimesNewRomanChar">
    <w:name w:val="Normal + Times New Roman Char"/>
    <w:basedOn w:val="DefaultParagraphFont"/>
    <w:link w:val="NormalTimesNewRoman"/>
    <w:rsid w:val="006677D7"/>
    <w:rPr>
      <w:rFonts w:ascii="Times New Roman" w:eastAsia="Times New Roman" w:hAnsi="Times New Roman" w:cs="Times New Roman"/>
      <w:sz w:val="24"/>
      <w:szCs w:val="20"/>
    </w:rPr>
  </w:style>
  <w:style w:type="paragraph" w:customStyle="1" w:styleId="style1">
    <w:name w:val="style1"/>
    <w:basedOn w:val="Normal"/>
    <w:link w:val="tw4winMark"/>
    <w:uiPriority w:val="99"/>
    <w:rsid w:val="00880A66"/>
    <w:pPr>
      <w:spacing w:before="100" w:beforeAutospacing="1" w:after="100" w:afterAutospacing="1"/>
    </w:pPr>
    <w:rPr>
      <w:rFonts w:ascii="Verdana" w:hAnsi="Verdana"/>
      <w:sz w:val="20"/>
    </w:rPr>
  </w:style>
  <w:style w:type="paragraph" w:styleId="BalloonText">
    <w:name w:val="Balloon Text"/>
    <w:basedOn w:val="Normal"/>
    <w:link w:val="BalloonTextChar"/>
    <w:uiPriority w:val="99"/>
    <w:semiHidden/>
    <w:unhideWhenUsed/>
    <w:rsid w:val="00795549"/>
    <w:rPr>
      <w:rFonts w:ascii="Tahoma" w:hAnsi="Tahoma" w:cs="Tahoma"/>
      <w:sz w:val="16"/>
      <w:szCs w:val="16"/>
    </w:rPr>
  </w:style>
  <w:style w:type="character" w:customStyle="1" w:styleId="BalloonTextChar">
    <w:name w:val="Balloon Text Char"/>
    <w:basedOn w:val="DefaultParagraphFont"/>
    <w:link w:val="BalloonText"/>
    <w:uiPriority w:val="99"/>
    <w:semiHidden/>
    <w:rsid w:val="00795549"/>
    <w:rPr>
      <w:rFonts w:ascii="Tahoma" w:eastAsia="Times New Roman" w:hAnsi="Tahoma" w:cs="Tahoma"/>
      <w:sz w:val="16"/>
      <w:szCs w:val="16"/>
    </w:rPr>
  </w:style>
  <w:style w:type="paragraph" w:customStyle="1" w:styleId="style6">
    <w:name w:val="style6"/>
    <w:basedOn w:val="Normal"/>
    <w:uiPriority w:val="99"/>
    <w:rsid w:val="00795549"/>
    <w:pPr>
      <w:spacing w:before="100" w:beforeAutospacing="1" w:after="100" w:afterAutospacing="1"/>
    </w:pPr>
    <w:rPr>
      <w:rFonts w:ascii="Verdana" w:hAnsi="Verdana"/>
      <w:b/>
      <w:bCs/>
      <w:sz w:val="20"/>
    </w:rPr>
  </w:style>
  <w:style w:type="character" w:styleId="Hyperlink">
    <w:name w:val="Hyperlink"/>
    <w:basedOn w:val="DefaultParagraphFont"/>
    <w:uiPriority w:val="99"/>
    <w:rsid w:val="00795549"/>
    <w:rPr>
      <w:color w:val="0000FF"/>
      <w:u w:val="single"/>
    </w:rPr>
  </w:style>
  <w:style w:type="character" w:styleId="Emphasis">
    <w:name w:val="Emphasis"/>
    <w:basedOn w:val="DefaultParagraphFont"/>
    <w:uiPriority w:val="99"/>
    <w:qFormat/>
    <w:rsid w:val="00795549"/>
    <w:rPr>
      <w:i/>
      <w:iCs/>
    </w:rPr>
  </w:style>
  <w:style w:type="character" w:styleId="Strong">
    <w:name w:val="Strong"/>
    <w:basedOn w:val="DefaultParagraphFont"/>
    <w:uiPriority w:val="99"/>
    <w:qFormat/>
    <w:rsid w:val="006863DD"/>
    <w:rPr>
      <w:rFonts w:cs="Times New Roman"/>
      <w:b/>
      <w:bCs/>
    </w:rPr>
  </w:style>
  <w:style w:type="paragraph" w:styleId="NormalWeb">
    <w:name w:val="Normal (Web)"/>
    <w:basedOn w:val="Normal"/>
    <w:uiPriority w:val="99"/>
    <w:rsid w:val="006863DD"/>
    <w:pPr>
      <w:spacing w:before="100" w:beforeAutospacing="1" w:after="100" w:afterAutospacing="1"/>
    </w:pPr>
    <w:rPr>
      <w:rFonts w:ascii="Times New Roman" w:hAnsi="Times New Roman"/>
      <w:szCs w:val="24"/>
    </w:rPr>
  </w:style>
  <w:style w:type="character" w:customStyle="1" w:styleId="apple-style-span">
    <w:name w:val="apple-style-span"/>
    <w:basedOn w:val="DefaultParagraphFont"/>
    <w:uiPriority w:val="99"/>
    <w:rsid w:val="006863DD"/>
    <w:rPr>
      <w:rFonts w:cs="Times New Roman"/>
    </w:rPr>
  </w:style>
  <w:style w:type="paragraph" w:styleId="PlainText">
    <w:name w:val="Plain Text"/>
    <w:basedOn w:val="Normal"/>
    <w:link w:val="PlainTextChar"/>
    <w:uiPriority w:val="99"/>
    <w:semiHidden/>
    <w:rsid w:val="006863DD"/>
    <w:rPr>
      <w:rFonts w:ascii="Consolas" w:hAnsi="Consolas"/>
      <w:sz w:val="21"/>
      <w:szCs w:val="21"/>
    </w:rPr>
  </w:style>
  <w:style w:type="character" w:customStyle="1" w:styleId="PlainTextChar">
    <w:name w:val="Plain Text Char"/>
    <w:basedOn w:val="DefaultParagraphFont"/>
    <w:link w:val="PlainText"/>
    <w:uiPriority w:val="99"/>
    <w:semiHidden/>
    <w:rsid w:val="006863DD"/>
    <w:rPr>
      <w:rFonts w:ascii="Consolas" w:eastAsia="Times New Roman" w:hAnsi="Consolas" w:cs="Times New Roman"/>
      <w:sz w:val="21"/>
      <w:szCs w:val="21"/>
    </w:rPr>
  </w:style>
  <w:style w:type="paragraph" w:styleId="Footer">
    <w:name w:val="footer"/>
    <w:basedOn w:val="Normal"/>
    <w:link w:val="FooterChar"/>
    <w:uiPriority w:val="99"/>
    <w:rsid w:val="00520888"/>
    <w:pPr>
      <w:tabs>
        <w:tab w:val="center" w:pos="4819"/>
        <w:tab w:val="right" w:pos="9638"/>
      </w:tabs>
    </w:pPr>
    <w:rPr>
      <w:rFonts w:ascii="Times New Roman" w:hAnsi="Times New Roman"/>
      <w:szCs w:val="24"/>
      <w:lang w:eastAsia="it-IT"/>
    </w:rPr>
  </w:style>
  <w:style w:type="character" w:customStyle="1" w:styleId="FooterChar">
    <w:name w:val="Footer Char"/>
    <w:basedOn w:val="DefaultParagraphFont"/>
    <w:link w:val="Footer"/>
    <w:uiPriority w:val="99"/>
    <w:rsid w:val="00520888"/>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D87113"/>
    <w:pPr>
      <w:tabs>
        <w:tab w:val="center" w:pos="4680"/>
        <w:tab w:val="right" w:pos="9360"/>
      </w:tabs>
    </w:pPr>
  </w:style>
  <w:style w:type="character" w:customStyle="1" w:styleId="HeaderChar">
    <w:name w:val="Header Char"/>
    <w:basedOn w:val="DefaultParagraphFont"/>
    <w:link w:val="Header"/>
    <w:uiPriority w:val="99"/>
    <w:rsid w:val="00D87113"/>
    <w:rPr>
      <w:rFonts w:ascii="Palatino" w:eastAsia="Times New Roman" w:hAnsi="Palatino" w:cs="Times New Roman"/>
      <w:sz w:val="24"/>
      <w:szCs w:val="20"/>
    </w:rPr>
  </w:style>
  <w:style w:type="character" w:customStyle="1" w:styleId="apple-converted-space">
    <w:name w:val="apple-converted-space"/>
    <w:basedOn w:val="DefaultParagraphFont"/>
    <w:rsid w:val="00321149"/>
  </w:style>
  <w:style w:type="paragraph" w:styleId="FootnoteText">
    <w:name w:val="footnote text"/>
    <w:basedOn w:val="Normal"/>
    <w:link w:val="FootnoteTextChar"/>
    <w:uiPriority w:val="99"/>
    <w:semiHidden/>
    <w:unhideWhenUsed/>
    <w:rsid w:val="00053295"/>
    <w:rPr>
      <w:sz w:val="20"/>
    </w:rPr>
  </w:style>
  <w:style w:type="character" w:customStyle="1" w:styleId="FootnoteTextChar">
    <w:name w:val="Footnote Text Char"/>
    <w:basedOn w:val="DefaultParagraphFont"/>
    <w:link w:val="FootnoteText"/>
    <w:uiPriority w:val="99"/>
    <w:semiHidden/>
    <w:rsid w:val="00053295"/>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053295"/>
    <w:rPr>
      <w:vertAlign w:val="superscript"/>
    </w:rPr>
  </w:style>
  <w:style w:type="character" w:customStyle="1" w:styleId="Heading4Char">
    <w:name w:val="Heading 4 Char"/>
    <w:basedOn w:val="DefaultParagraphFont"/>
    <w:link w:val="Heading4"/>
    <w:uiPriority w:val="9"/>
    <w:semiHidden/>
    <w:rsid w:val="007F5AD7"/>
    <w:rPr>
      <w:rFonts w:asciiTheme="majorHAnsi" w:eastAsiaTheme="majorEastAsia" w:hAnsiTheme="majorHAnsi" w:cstheme="majorBidi"/>
      <w:b/>
      <w:bCs/>
      <w:i/>
      <w:iCs/>
      <w:color w:val="4F81BD" w:themeColor="accent1"/>
      <w:sz w:val="24"/>
      <w:szCs w:val="20"/>
    </w:rPr>
  </w:style>
  <w:style w:type="character" w:styleId="CommentReference">
    <w:name w:val="annotation reference"/>
    <w:basedOn w:val="DefaultParagraphFont"/>
    <w:uiPriority w:val="99"/>
    <w:semiHidden/>
    <w:unhideWhenUsed/>
    <w:rsid w:val="00237D5C"/>
    <w:rPr>
      <w:sz w:val="16"/>
      <w:szCs w:val="16"/>
    </w:rPr>
  </w:style>
  <w:style w:type="paragraph" w:styleId="CommentText">
    <w:name w:val="annotation text"/>
    <w:basedOn w:val="Normal"/>
    <w:link w:val="CommentTextChar"/>
    <w:uiPriority w:val="99"/>
    <w:semiHidden/>
    <w:unhideWhenUsed/>
    <w:rsid w:val="00237D5C"/>
    <w:rPr>
      <w:sz w:val="20"/>
    </w:rPr>
  </w:style>
  <w:style w:type="character" w:customStyle="1" w:styleId="CommentTextChar">
    <w:name w:val="Comment Text Char"/>
    <w:basedOn w:val="DefaultParagraphFont"/>
    <w:link w:val="CommentText"/>
    <w:uiPriority w:val="99"/>
    <w:semiHidden/>
    <w:rsid w:val="00237D5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237D5C"/>
    <w:rPr>
      <w:b/>
      <w:bCs/>
    </w:rPr>
  </w:style>
  <w:style w:type="character" w:customStyle="1" w:styleId="CommentSubjectChar">
    <w:name w:val="Comment Subject Char"/>
    <w:basedOn w:val="CommentTextChar"/>
    <w:link w:val="CommentSubject"/>
    <w:uiPriority w:val="99"/>
    <w:semiHidden/>
    <w:rsid w:val="00237D5C"/>
    <w:rPr>
      <w:rFonts w:ascii="Palatino" w:eastAsia="Times New Roman" w:hAnsi="Palatino" w:cs="Times New Roman"/>
      <w:b/>
      <w:bCs/>
      <w:sz w:val="20"/>
      <w:szCs w:val="20"/>
    </w:rPr>
  </w:style>
  <w:style w:type="paragraph" w:styleId="Revision">
    <w:name w:val="Revision"/>
    <w:hidden/>
    <w:uiPriority w:val="99"/>
    <w:semiHidden/>
    <w:rsid w:val="00237D5C"/>
    <w:pPr>
      <w:spacing w:after="0" w:line="240" w:lineRule="auto"/>
    </w:pPr>
    <w:rPr>
      <w:rFonts w:ascii="Palatino" w:eastAsia="Times New Roman" w:hAnsi="Palatino" w:cs="Times New Roman"/>
      <w:sz w:val="24"/>
      <w:szCs w:val="20"/>
    </w:rPr>
  </w:style>
  <w:style w:type="paragraph" w:styleId="BodyText">
    <w:name w:val="Body Text"/>
    <w:aliases w:val="bt,Body text,body,text,BT,Ctrl+1,Body"/>
    <w:basedOn w:val="Normal"/>
    <w:link w:val="BodyTextChar1"/>
    <w:rsid w:val="00F07408"/>
    <w:pPr>
      <w:jc w:val="both"/>
    </w:pPr>
    <w:rPr>
      <w:rFonts w:ascii="Times New Roman" w:hAnsi="Times New Roman"/>
      <w:szCs w:val="24"/>
      <w:lang w:eastAsia="it-IT"/>
    </w:rPr>
  </w:style>
  <w:style w:type="character" w:customStyle="1" w:styleId="BodyTextChar1">
    <w:name w:val="Body Text Char1"/>
    <w:aliases w:val="bt Char1,Body text Char1,body Char1,text Char1,BT Char1,Ctrl+1 Char1,Body Char1"/>
    <w:basedOn w:val="DefaultParagraphFont"/>
    <w:link w:val="BodyText"/>
    <w:rsid w:val="00F07408"/>
    <w:rPr>
      <w:rFonts w:ascii="Times New Roman" w:eastAsia="Times New Roman" w:hAnsi="Times New Roman" w:cs="Times New Roman"/>
      <w:sz w:val="24"/>
      <w:szCs w:val="24"/>
      <w:lang w:eastAsia="it-IT"/>
    </w:rPr>
  </w:style>
  <w:style w:type="table" w:styleId="TableGrid">
    <w:name w:val="Table Grid"/>
    <w:basedOn w:val="TableNormal"/>
    <w:rsid w:val="00391DED"/>
    <w:pPr>
      <w:spacing w:after="0" w:line="240" w:lineRule="auto"/>
    </w:pPr>
    <w:rPr>
      <w:rFonts w:asciiTheme="minorBidi" w:eastAsia="Times New Roman" w:hAnsiTheme="minorBidi"/>
      <w:snapToGrid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link w:val="style1"/>
    <w:uiPriority w:val="99"/>
    <w:rsid w:val="00391DED"/>
    <w:rPr>
      <w:rFonts w:ascii="Verdana" w:eastAsia="Times New Roman" w:hAnsi="Verdana" w:cs="Times New Roman"/>
      <w:sz w:val="20"/>
      <w:szCs w:val="20"/>
    </w:rPr>
  </w:style>
  <w:style w:type="character" w:customStyle="1" w:styleId="BodyTextChar">
    <w:name w:val="Body Text Char"/>
    <w:aliases w:val="bt Char,Body text Char,body Char,text Char,BT Char,Ctrl+1 Char,Body Char"/>
    <w:basedOn w:val="DefaultParagraphFont"/>
    <w:rsid w:val="00C3517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5449">
      <w:bodyDiv w:val="1"/>
      <w:marLeft w:val="0"/>
      <w:marRight w:val="0"/>
      <w:marTop w:val="0"/>
      <w:marBottom w:val="0"/>
      <w:divBdr>
        <w:top w:val="none" w:sz="0" w:space="0" w:color="auto"/>
        <w:left w:val="none" w:sz="0" w:space="0" w:color="auto"/>
        <w:bottom w:val="none" w:sz="0" w:space="0" w:color="auto"/>
        <w:right w:val="none" w:sz="0" w:space="0" w:color="auto"/>
      </w:divBdr>
    </w:div>
    <w:div w:id="76294246">
      <w:bodyDiv w:val="1"/>
      <w:marLeft w:val="0"/>
      <w:marRight w:val="0"/>
      <w:marTop w:val="0"/>
      <w:marBottom w:val="0"/>
      <w:divBdr>
        <w:top w:val="none" w:sz="0" w:space="0" w:color="auto"/>
        <w:left w:val="none" w:sz="0" w:space="0" w:color="auto"/>
        <w:bottom w:val="none" w:sz="0" w:space="0" w:color="auto"/>
        <w:right w:val="none" w:sz="0" w:space="0" w:color="auto"/>
      </w:divBdr>
    </w:div>
    <w:div w:id="187643480">
      <w:bodyDiv w:val="1"/>
      <w:marLeft w:val="0"/>
      <w:marRight w:val="0"/>
      <w:marTop w:val="0"/>
      <w:marBottom w:val="0"/>
      <w:divBdr>
        <w:top w:val="none" w:sz="0" w:space="0" w:color="auto"/>
        <w:left w:val="none" w:sz="0" w:space="0" w:color="auto"/>
        <w:bottom w:val="none" w:sz="0" w:space="0" w:color="auto"/>
        <w:right w:val="none" w:sz="0" w:space="0" w:color="auto"/>
      </w:divBdr>
    </w:div>
    <w:div w:id="203636420">
      <w:bodyDiv w:val="1"/>
      <w:marLeft w:val="0"/>
      <w:marRight w:val="0"/>
      <w:marTop w:val="0"/>
      <w:marBottom w:val="0"/>
      <w:divBdr>
        <w:top w:val="none" w:sz="0" w:space="0" w:color="auto"/>
        <w:left w:val="none" w:sz="0" w:space="0" w:color="auto"/>
        <w:bottom w:val="none" w:sz="0" w:space="0" w:color="auto"/>
        <w:right w:val="none" w:sz="0" w:space="0" w:color="auto"/>
      </w:divBdr>
    </w:div>
    <w:div w:id="232932257">
      <w:bodyDiv w:val="1"/>
      <w:marLeft w:val="0"/>
      <w:marRight w:val="0"/>
      <w:marTop w:val="0"/>
      <w:marBottom w:val="0"/>
      <w:divBdr>
        <w:top w:val="none" w:sz="0" w:space="0" w:color="auto"/>
        <w:left w:val="none" w:sz="0" w:space="0" w:color="auto"/>
        <w:bottom w:val="none" w:sz="0" w:space="0" w:color="auto"/>
        <w:right w:val="none" w:sz="0" w:space="0" w:color="auto"/>
      </w:divBdr>
    </w:div>
    <w:div w:id="283928222">
      <w:bodyDiv w:val="1"/>
      <w:marLeft w:val="0"/>
      <w:marRight w:val="0"/>
      <w:marTop w:val="0"/>
      <w:marBottom w:val="0"/>
      <w:divBdr>
        <w:top w:val="none" w:sz="0" w:space="0" w:color="auto"/>
        <w:left w:val="none" w:sz="0" w:space="0" w:color="auto"/>
        <w:bottom w:val="none" w:sz="0" w:space="0" w:color="auto"/>
        <w:right w:val="none" w:sz="0" w:space="0" w:color="auto"/>
      </w:divBdr>
    </w:div>
    <w:div w:id="735712869">
      <w:bodyDiv w:val="1"/>
      <w:marLeft w:val="0"/>
      <w:marRight w:val="0"/>
      <w:marTop w:val="0"/>
      <w:marBottom w:val="0"/>
      <w:divBdr>
        <w:top w:val="none" w:sz="0" w:space="0" w:color="auto"/>
        <w:left w:val="none" w:sz="0" w:space="0" w:color="auto"/>
        <w:bottom w:val="none" w:sz="0" w:space="0" w:color="auto"/>
        <w:right w:val="none" w:sz="0" w:space="0" w:color="auto"/>
      </w:divBdr>
    </w:div>
    <w:div w:id="812520864">
      <w:bodyDiv w:val="1"/>
      <w:marLeft w:val="0"/>
      <w:marRight w:val="0"/>
      <w:marTop w:val="0"/>
      <w:marBottom w:val="0"/>
      <w:divBdr>
        <w:top w:val="none" w:sz="0" w:space="0" w:color="auto"/>
        <w:left w:val="none" w:sz="0" w:space="0" w:color="auto"/>
        <w:bottom w:val="none" w:sz="0" w:space="0" w:color="auto"/>
        <w:right w:val="none" w:sz="0" w:space="0" w:color="auto"/>
      </w:divBdr>
    </w:div>
    <w:div w:id="944578882">
      <w:bodyDiv w:val="1"/>
      <w:marLeft w:val="0"/>
      <w:marRight w:val="0"/>
      <w:marTop w:val="0"/>
      <w:marBottom w:val="0"/>
      <w:divBdr>
        <w:top w:val="none" w:sz="0" w:space="0" w:color="auto"/>
        <w:left w:val="none" w:sz="0" w:space="0" w:color="auto"/>
        <w:bottom w:val="none" w:sz="0" w:space="0" w:color="auto"/>
        <w:right w:val="none" w:sz="0" w:space="0" w:color="auto"/>
      </w:divBdr>
    </w:div>
    <w:div w:id="980158515">
      <w:bodyDiv w:val="1"/>
      <w:marLeft w:val="0"/>
      <w:marRight w:val="0"/>
      <w:marTop w:val="0"/>
      <w:marBottom w:val="0"/>
      <w:divBdr>
        <w:top w:val="none" w:sz="0" w:space="0" w:color="auto"/>
        <w:left w:val="none" w:sz="0" w:space="0" w:color="auto"/>
        <w:bottom w:val="none" w:sz="0" w:space="0" w:color="auto"/>
        <w:right w:val="none" w:sz="0" w:space="0" w:color="auto"/>
      </w:divBdr>
    </w:div>
    <w:div w:id="1091776332">
      <w:bodyDiv w:val="1"/>
      <w:marLeft w:val="0"/>
      <w:marRight w:val="0"/>
      <w:marTop w:val="0"/>
      <w:marBottom w:val="0"/>
      <w:divBdr>
        <w:top w:val="none" w:sz="0" w:space="0" w:color="auto"/>
        <w:left w:val="none" w:sz="0" w:space="0" w:color="auto"/>
        <w:bottom w:val="none" w:sz="0" w:space="0" w:color="auto"/>
        <w:right w:val="none" w:sz="0" w:space="0" w:color="auto"/>
      </w:divBdr>
    </w:div>
    <w:div w:id="1143348858">
      <w:bodyDiv w:val="1"/>
      <w:marLeft w:val="0"/>
      <w:marRight w:val="0"/>
      <w:marTop w:val="0"/>
      <w:marBottom w:val="0"/>
      <w:divBdr>
        <w:top w:val="none" w:sz="0" w:space="0" w:color="auto"/>
        <w:left w:val="none" w:sz="0" w:space="0" w:color="auto"/>
        <w:bottom w:val="none" w:sz="0" w:space="0" w:color="auto"/>
        <w:right w:val="none" w:sz="0" w:space="0" w:color="auto"/>
      </w:divBdr>
    </w:div>
    <w:div w:id="1214275377">
      <w:bodyDiv w:val="1"/>
      <w:marLeft w:val="0"/>
      <w:marRight w:val="0"/>
      <w:marTop w:val="0"/>
      <w:marBottom w:val="0"/>
      <w:divBdr>
        <w:top w:val="none" w:sz="0" w:space="0" w:color="auto"/>
        <w:left w:val="none" w:sz="0" w:space="0" w:color="auto"/>
        <w:bottom w:val="none" w:sz="0" w:space="0" w:color="auto"/>
        <w:right w:val="none" w:sz="0" w:space="0" w:color="auto"/>
      </w:divBdr>
    </w:div>
    <w:div w:id="1252616473">
      <w:bodyDiv w:val="1"/>
      <w:marLeft w:val="0"/>
      <w:marRight w:val="0"/>
      <w:marTop w:val="0"/>
      <w:marBottom w:val="0"/>
      <w:divBdr>
        <w:top w:val="none" w:sz="0" w:space="0" w:color="auto"/>
        <w:left w:val="none" w:sz="0" w:space="0" w:color="auto"/>
        <w:bottom w:val="none" w:sz="0" w:space="0" w:color="auto"/>
        <w:right w:val="none" w:sz="0" w:space="0" w:color="auto"/>
      </w:divBdr>
    </w:div>
    <w:div w:id="1360664350">
      <w:bodyDiv w:val="1"/>
      <w:marLeft w:val="0"/>
      <w:marRight w:val="0"/>
      <w:marTop w:val="0"/>
      <w:marBottom w:val="0"/>
      <w:divBdr>
        <w:top w:val="none" w:sz="0" w:space="0" w:color="auto"/>
        <w:left w:val="none" w:sz="0" w:space="0" w:color="auto"/>
        <w:bottom w:val="none" w:sz="0" w:space="0" w:color="auto"/>
        <w:right w:val="none" w:sz="0" w:space="0" w:color="auto"/>
      </w:divBdr>
    </w:div>
    <w:div w:id="1372220515">
      <w:bodyDiv w:val="1"/>
      <w:marLeft w:val="0"/>
      <w:marRight w:val="0"/>
      <w:marTop w:val="0"/>
      <w:marBottom w:val="0"/>
      <w:divBdr>
        <w:top w:val="none" w:sz="0" w:space="0" w:color="auto"/>
        <w:left w:val="none" w:sz="0" w:space="0" w:color="auto"/>
        <w:bottom w:val="none" w:sz="0" w:space="0" w:color="auto"/>
        <w:right w:val="none" w:sz="0" w:space="0" w:color="auto"/>
      </w:divBdr>
    </w:div>
    <w:div w:id="1379166260">
      <w:bodyDiv w:val="1"/>
      <w:marLeft w:val="0"/>
      <w:marRight w:val="0"/>
      <w:marTop w:val="0"/>
      <w:marBottom w:val="0"/>
      <w:divBdr>
        <w:top w:val="none" w:sz="0" w:space="0" w:color="auto"/>
        <w:left w:val="none" w:sz="0" w:space="0" w:color="auto"/>
        <w:bottom w:val="none" w:sz="0" w:space="0" w:color="auto"/>
        <w:right w:val="none" w:sz="0" w:space="0" w:color="auto"/>
      </w:divBdr>
    </w:div>
    <w:div w:id="1422795807">
      <w:bodyDiv w:val="1"/>
      <w:marLeft w:val="0"/>
      <w:marRight w:val="0"/>
      <w:marTop w:val="0"/>
      <w:marBottom w:val="0"/>
      <w:divBdr>
        <w:top w:val="none" w:sz="0" w:space="0" w:color="auto"/>
        <w:left w:val="none" w:sz="0" w:space="0" w:color="auto"/>
        <w:bottom w:val="none" w:sz="0" w:space="0" w:color="auto"/>
        <w:right w:val="none" w:sz="0" w:space="0" w:color="auto"/>
      </w:divBdr>
    </w:div>
    <w:div w:id="1434401478">
      <w:bodyDiv w:val="1"/>
      <w:marLeft w:val="0"/>
      <w:marRight w:val="0"/>
      <w:marTop w:val="0"/>
      <w:marBottom w:val="0"/>
      <w:divBdr>
        <w:top w:val="none" w:sz="0" w:space="0" w:color="auto"/>
        <w:left w:val="none" w:sz="0" w:space="0" w:color="auto"/>
        <w:bottom w:val="none" w:sz="0" w:space="0" w:color="auto"/>
        <w:right w:val="none" w:sz="0" w:space="0" w:color="auto"/>
      </w:divBdr>
    </w:div>
    <w:div w:id="1463183769">
      <w:bodyDiv w:val="1"/>
      <w:marLeft w:val="0"/>
      <w:marRight w:val="0"/>
      <w:marTop w:val="0"/>
      <w:marBottom w:val="0"/>
      <w:divBdr>
        <w:top w:val="none" w:sz="0" w:space="0" w:color="auto"/>
        <w:left w:val="none" w:sz="0" w:space="0" w:color="auto"/>
        <w:bottom w:val="none" w:sz="0" w:space="0" w:color="auto"/>
        <w:right w:val="none" w:sz="0" w:space="0" w:color="auto"/>
      </w:divBdr>
    </w:div>
    <w:div w:id="1567522616">
      <w:bodyDiv w:val="1"/>
      <w:marLeft w:val="0"/>
      <w:marRight w:val="0"/>
      <w:marTop w:val="0"/>
      <w:marBottom w:val="0"/>
      <w:divBdr>
        <w:top w:val="none" w:sz="0" w:space="0" w:color="auto"/>
        <w:left w:val="none" w:sz="0" w:space="0" w:color="auto"/>
        <w:bottom w:val="none" w:sz="0" w:space="0" w:color="auto"/>
        <w:right w:val="none" w:sz="0" w:space="0" w:color="auto"/>
      </w:divBdr>
    </w:div>
    <w:div w:id="1598292270">
      <w:bodyDiv w:val="1"/>
      <w:marLeft w:val="0"/>
      <w:marRight w:val="0"/>
      <w:marTop w:val="0"/>
      <w:marBottom w:val="0"/>
      <w:divBdr>
        <w:top w:val="none" w:sz="0" w:space="0" w:color="auto"/>
        <w:left w:val="none" w:sz="0" w:space="0" w:color="auto"/>
        <w:bottom w:val="none" w:sz="0" w:space="0" w:color="auto"/>
        <w:right w:val="none" w:sz="0" w:space="0" w:color="auto"/>
      </w:divBdr>
    </w:div>
    <w:div w:id="1663970413">
      <w:bodyDiv w:val="1"/>
      <w:marLeft w:val="0"/>
      <w:marRight w:val="0"/>
      <w:marTop w:val="0"/>
      <w:marBottom w:val="0"/>
      <w:divBdr>
        <w:top w:val="none" w:sz="0" w:space="0" w:color="auto"/>
        <w:left w:val="none" w:sz="0" w:space="0" w:color="auto"/>
        <w:bottom w:val="none" w:sz="0" w:space="0" w:color="auto"/>
        <w:right w:val="none" w:sz="0" w:space="0" w:color="auto"/>
      </w:divBdr>
    </w:div>
    <w:div w:id="1723021333">
      <w:bodyDiv w:val="1"/>
      <w:marLeft w:val="0"/>
      <w:marRight w:val="0"/>
      <w:marTop w:val="0"/>
      <w:marBottom w:val="0"/>
      <w:divBdr>
        <w:top w:val="none" w:sz="0" w:space="0" w:color="auto"/>
        <w:left w:val="none" w:sz="0" w:space="0" w:color="auto"/>
        <w:bottom w:val="none" w:sz="0" w:space="0" w:color="auto"/>
        <w:right w:val="none" w:sz="0" w:space="0" w:color="auto"/>
      </w:divBdr>
    </w:div>
    <w:div w:id="1825732535">
      <w:bodyDiv w:val="1"/>
      <w:marLeft w:val="0"/>
      <w:marRight w:val="0"/>
      <w:marTop w:val="0"/>
      <w:marBottom w:val="0"/>
      <w:divBdr>
        <w:top w:val="none" w:sz="0" w:space="0" w:color="auto"/>
        <w:left w:val="none" w:sz="0" w:space="0" w:color="auto"/>
        <w:bottom w:val="none" w:sz="0" w:space="0" w:color="auto"/>
        <w:right w:val="none" w:sz="0" w:space="0" w:color="auto"/>
      </w:divBdr>
    </w:div>
    <w:div w:id="1832677689">
      <w:bodyDiv w:val="1"/>
      <w:marLeft w:val="0"/>
      <w:marRight w:val="0"/>
      <w:marTop w:val="0"/>
      <w:marBottom w:val="0"/>
      <w:divBdr>
        <w:top w:val="none" w:sz="0" w:space="0" w:color="auto"/>
        <w:left w:val="none" w:sz="0" w:space="0" w:color="auto"/>
        <w:bottom w:val="none" w:sz="0" w:space="0" w:color="auto"/>
        <w:right w:val="none" w:sz="0" w:space="0" w:color="auto"/>
      </w:divBdr>
    </w:div>
    <w:div w:id="1841849585">
      <w:bodyDiv w:val="1"/>
      <w:marLeft w:val="0"/>
      <w:marRight w:val="0"/>
      <w:marTop w:val="0"/>
      <w:marBottom w:val="0"/>
      <w:divBdr>
        <w:top w:val="none" w:sz="0" w:space="0" w:color="auto"/>
        <w:left w:val="none" w:sz="0" w:space="0" w:color="auto"/>
        <w:bottom w:val="none" w:sz="0" w:space="0" w:color="auto"/>
        <w:right w:val="none" w:sz="0" w:space="0" w:color="auto"/>
      </w:divBdr>
    </w:div>
    <w:div w:id="1864324488">
      <w:bodyDiv w:val="1"/>
      <w:marLeft w:val="0"/>
      <w:marRight w:val="0"/>
      <w:marTop w:val="0"/>
      <w:marBottom w:val="0"/>
      <w:divBdr>
        <w:top w:val="none" w:sz="0" w:space="0" w:color="auto"/>
        <w:left w:val="none" w:sz="0" w:space="0" w:color="auto"/>
        <w:bottom w:val="none" w:sz="0" w:space="0" w:color="auto"/>
        <w:right w:val="none" w:sz="0" w:space="0" w:color="auto"/>
      </w:divBdr>
    </w:div>
    <w:div w:id="1929343974">
      <w:bodyDiv w:val="1"/>
      <w:marLeft w:val="0"/>
      <w:marRight w:val="0"/>
      <w:marTop w:val="0"/>
      <w:marBottom w:val="0"/>
      <w:divBdr>
        <w:top w:val="none" w:sz="0" w:space="0" w:color="auto"/>
        <w:left w:val="none" w:sz="0" w:space="0" w:color="auto"/>
        <w:bottom w:val="none" w:sz="0" w:space="0" w:color="auto"/>
        <w:right w:val="none" w:sz="0" w:space="0" w:color="auto"/>
      </w:divBdr>
    </w:div>
    <w:div w:id="2041977885">
      <w:bodyDiv w:val="1"/>
      <w:marLeft w:val="0"/>
      <w:marRight w:val="0"/>
      <w:marTop w:val="0"/>
      <w:marBottom w:val="0"/>
      <w:divBdr>
        <w:top w:val="none" w:sz="0" w:space="0" w:color="auto"/>
        <w:left w:val="none" w:sz="0" w:space="0" w:color="auto"/>
        <w:bottom w:val="none" w:sz="0" w:space="0" w:color="auto"/>
        <w:right w:val="none" w:sz="0" w:space="0" w:color="auto"/>
      </w:divBdr>
    </w:div>
    <w:div w:id="2113619793">
      <w:bodyDiv w:val="1"/>
      <w:marLeft w:val="0"/>
      <w:marRight w:val="0"/>
      <w:marTop w:val="0"/>
      <w:marBottom w:val="0"/>
      <w:divBdr>
        <w:top w:val="none" w:sz="0" w:space="0" w:color="auto"/>
        <w:left w:val="none" w:sz="0" w:space="0" w:color="auto"/>
        <w:bottom w:val="none" w:sz="0" w:space="0" w:color="auto"/>
        <w:right w:val="none" w:sz="0" w:space="0" w:color="auto"/>
      </w:divBdr>
    </w:div>
    <w:div w:id="21211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tech.com" TargetMode="External"/><Relationship Id="rId4" Type="http://schemas.openxmlformats.org/officeDocument/2006/relationships/settings" Target="settings.xml"/><Relationship Id="rId9" Type="http://schemas.openxmlformats.org/officeDocument/2006/relationships/hyperlink" Target="http://www.g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F3F8-660D-4D92-A493-D7CB0949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GTECH Corporation</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GTECH</dc:creator>
  <cp:lastModifiedBy>Panayotis Kalogeropoulos</cp:lastModifiedBy>
  <cp:revision>2</cp:revision>
  <cp:lastPrinted>2014-11-10T18:52:00Z</cp:lastPrinted>
  <dcterms:created xsi:type="dcterms:W3CDTF">2014-11-12T14:00:00Z</dcterms:created>
  <dcterms:modified xsi:type="dcterms:W3CDTF">2014-11-12T14:00:00Z</dcterms:modified>
</cp:coreProperties>
</file>